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DBCB3" w14:textId="77777777" w:rsidR="00AE0505" w:rsidRPr="00C70B7C" w:rsidRDefault="0086027F" w:rsidP="00C70B7C">
      <w:pPr>
        <w:spacing w:before="120" w:after="240" w:line="360" w:lineRule="auto"/>
        <w:jc w:val="center"/>
        <w:rPr>
          <w:rFonts w:asciiTheme="majorBidi" w:eastAsia="Times New Roman" w:hAnsiTheme="majorBidi" w:cstheme="majorBidi"/>
          <w:b/>
          <w:bCs/>
          <w:sz w:val="24"/>
          <w:szCs w:val="24"/>
        </w:rPr>
      </w:pPr>
      <w:bookmarkStart w:id="0" w:name="_Hlk198941700"/>
      <w:bookmarkEnd w:id="0"/>
      <w:r w:rsidRPr="00C70B7C">
        <w:rPr>
          <w:rFonts w:asciiTheme="majorBidi" w:eastAsia="Times New Roman" w:hAnsiTheme="majorBidi" w:cstheme="majorBidi"/>
          <w:b/>
          <w:bCs/>
          <w:sz w:val="24"/>
          <w:szCs w:val="24"/>
        </w:rPr>
        <w:t xml:space="preserve">Correlation between triglycerides glucose index and </w:t>
      </w:r>
      <w:bookmarkStart w:id="1" w:name="_Hlk147668321"/>
      <w:r w:rsidRPr="00C70B7C">
        <w:rPr>
          <w:rFonts w:asciiTheme="majorBidi" w:eastAsia="Times New Roman" w:hAnsiTheme="majorBidi" w:cstheme="majorBidi"/>
          <w:b/>
          <w:bCs/>
          <w:sz w:val="24"/>
          <w:szCs w:val="24"/>
        </w:rPr>
        <w:t xml:space="preserve">left ventricular global longitudinal strain in prediction of heart failure </w:t>
      </w:r>
      <w:bookmarkEnd w:id="1"/>
      <w:r w:rsidRPr="00C70B7C">
        <w:rPr>
          <w:rFonts w:asciiTheme="majorBidi" w:eastAsia="Times New Roman" w:hAnsiTheme="majorBidi" w:cstheme="majorBidi"/>
          <w:b/>
          <w:bCs/>
          <w:sz w:val="24"/>
          <w:szCs w:val="24"/>
        </w:rPr>
        <w:t>in cases with NSTE-ACS</w:t>
      </w:r>
    </w:p>
    <w:p w14:paraId="611F612F" w14:textId="77777777" w:rsidR="00AE0505" w:rsidRPr="00C70B7C" w:rsidRDefault="0086027F" w:rsidP="00C70B7C">
      <w:pPr>
        <w:spacing w:before="120" w:after="240" w:line="360" w:lineRule="auto"/>
        <w:jc w:val="both"/>
        <w:rPr>
          <w:rFonts w:asciiTheme="majorBidi" w:hAnsiTheme="majorBidi" w:cstheme="majorBidi"/>
          <w:b/>
          <w:bCs/>
          <w:sz w:val="24"/>
          <w:szCs w:val="24"/>
        </w:rPr>
      </w:pPr>
      <w:r w:rsidRPr="00C70B7C">
        <w:rPr>
          <w:rFonts w:asciiTheme="majorBidi" w:hAnsiTheme="majorBidi" w:cstheme="majorBidi"/>
          <w:b/>
          <w:bCs/>
          <w:sz w:val="24"/>
          <w:szCs w:val="24"/>
        </w:rPr>
        <w:t>Abstract</w:t>
      </w:r>
    </w:p>
    <w:p w14:paraId="599269B8" w14:textId="251A4B54"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b/>
          <w:bCs/>
          <w:sz w:val="24"/>
          <w:szCs w:val="24"/>
        </w:rPr>
        <w:t>Background:</w:t>
      </w:r>
      <w:r w:rsidR="00D777D6">
        <w:rPr>
          <w:rFonts w:asciiTheme="majorBidi" w:hAnsiTheme="majorBidi" w:cstheme="majorBidi"/>
          <w:b/>
          <w:bCs/>
          <w:sz w:val="24"/>
          <w:szCs w:val="24"/>
        </w:rPr>
        <w:t xml:space="preserve"> </w:t>
      </w:r>
      <w:r w:rsidRPr="00C70B7C">
        <w:rPr>
          <w:rFonts w:asciiTheme="majorBidi" w:hAnsiTheme="majorBidi" w:cstheme="majorBidi"/>
          <w:sz w:val="24"/>
          <w:szCs w:val="24"/>
        </w:rPr>
        <w:t xml:space="preserve">Insulin resistance (IR) is a central contributor to the development of both atherosclerotic disease and myocardial dysfunction. </w:t>
      </w:r>
      <w:r w:rsidR="00B8477A" w:rsidRPr="00C70B7C">
        <w:rPr>
          <w:rFonts w:asciiTheme="majorBidi" w:hAnsiTheme="majorBidi" w:cstheme="majorBidi"/>
          <w:sz w:val="24"/>
          <w:szCs w:val="24"/>
        </w:rPr>
        <w:t>Triglyceride</w:t>
      </w:r>
      <w:r w:rsidRPr="00C70B7C">
        <w:rPr>
          <w:rFonts w:asciiTheme="majorBidi" w:hAnsiTheme="majorBidi" w:cstheme="majorBidi"/>
          <w:sz w:val="24"/>
          <w:szCs w:val="24"/>
        </w:rPr>
        <w:t>-glucose (TyG) index has gained prominence due to its simplicity and reliability. Concurrently, global longitudinal strain (GLS) has emerged as a highly sensitive parameter for the early diagnosis of subclinical left ventricular (LV) systolic impairment. Within the clinical landscape of non-ST elevation acute coronary syndrome (NSTE-ACS), early identification of cases predisposed to heart failure (HF) remains a significant diagnostic hurdle. This investigation explored the association between the TyG index and LV GLS in cases diagnosed with NSTE-ACS, utilizing speckle-tracking echocardiography as the primary assessment modality.</w:t>
      </w:r>
      <w:r w:rsidR="00C70B7C">
        <w:rPr>
          <w:rFonts w:asciiTheme="majorBidi" w:hAnsiTheme="majorBidi" w:cstheme="majorBidi"/>
          <w:sz w:val="24"/>
          <w:szCs w:val="24"/>
        </w:rPr>
        <w:t xml:space="preserve"> </w:t>
      </w:r>
      <w:r w:rsidRPr="00C70B7C">
        <w:rPr>
          <w:rFonts w:asciiTheme="majorBidi" w:hAnsiTheme="majorBidi" w:cstheme="majorBidi"/>
          <w:b/>
          <w:bCs/>
          <w:sz w:val="24"/>
          <w:szCs w:val="24"/>
        </w:rPr>
        <w:t>Methods:</w:t>
      </w:r>
      <w:r w:rsidR="00C70B7C">
        <w:rPr>
          <w:rFonts w:asciiTheme="majorBidi" w:hAnsiTheme="majorBidi" w:cstheme="majorBidi"/>
          <w:b/>
          <w:bCs/>
          <w:sz w:val="24"/>
          <w:szCs w:val="24"/>
        </w:rPr>
        <w:t xml:space="preserve"> </w:t>
      </w:r>
      <w:r w:rsidRPr="00C70B7C">
        <w:rPr>
          <w:rFonts w:asciiTheme="majorBidi" w:hAnsiTheme="majorBidi" w:cstheme="majorBidi"/>
          <w:sz w:val="24"/>
          <w:szCs w:val="24"/>
        </w:rPr>
        <w:t>This prospective cohort study was done at Benha University Hospital, including 315 cases admitted with NSTE-ACS between November 2023 and November 2024. Cases were divided into two groups: Group I (TyG index &lt; 8.47) and Group II (TyG index ≥ 8.47).</w:t>
      </w:r>
      <w:r w:rsidRPr="00C70B7C">
        <w:rPr>
          <w:rFonts w:asciiTheme="majorBidi" w:hAnsiTheme="majorBidi" w:cstheme="majorBidi"/>
          <w:b/>
          <w:bCs/>
          <w:sz w:val="24"/>
          <w:szCs w:val="24"/>
        </w:rPr>
        <w:t xml:space="preserve">Results: </w:t>
      </w:r>
      <w:r w:rsidRPr="00C70B7C">
        <w:rPr>
          <w:rFonts w:asciiTheme="majorBidi" w:hAnsiTheme="majorBidi" w:cstheme="majorBidi"/>
          <w:sz w:val="24"/>
          <w:szCs w:val="24"/>
        </w:rPr>
        <w:t xml:space="preserve">The TyG index showed a strong inverse correlation with GLS (r = -0.673, P&lt;0.001), indicating that elevted TyG values are associated with reduced myocardial deformation.. Multivariate logistic regression exhibited that the TyG index independently predicted in-hospital major adverse cardiovascular events (OR = 12.861, 95% CI = 4.03–41.043, P&lt;0.001), even after adjusting for confounders. </w:t>
      </w:r>
      <w:r w:rsidRPr="00C70B7C">
        <w:rPr>
          <w:rFonts w:asciiTheme="majorBidi" w:hAnsiTheme="majorBidi" w:cstheme="majorBidi"/>
          <w:b/>
          <w:bCs/>
          <w:sz w:val="24"/>
          <w:szCs w:val="24"/>
        </w:rPr>
        <w:t xml:space="preserve">Conclusion: </w:t>
      </w:r>
      <w:r w:rsidRPr="00C70B7C">
        <w:rPr>
          <w:rFonts w:asciiTheme="majorBidi" w:hAnsiTheme="majorBidi" w:cstheme="majorBidi"/>
          <w:sz w:val="24"/>
          <w:szCs w:val="24"/>
        </w:rPr>
        <w:t>In NSTE-ACS, an elevted TyG index is associated with greater impairment of LV function as measured by speckle-tracking echocardiography. Routine assessment of the TyG index may aid in identifying cases at increased risk of adverse cardiac outcomes.</w:t>
      </w:r>
    </w:p>
    <w:p w14:paraId="60EE98E0"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b/>
          <w:bCs/>
          <w:sz w:val="24"/>
          <w:szCs w:val="24"/>
        </w:rPr>
        <w:t>Keywords:</w:t>
      </w:r>
      <w:r w:rsidRPr="00C70B7C">
        <w:rPr>
          <w:rFonts w:asciiTheme="majorBidi" w:hAnsiTheme="majorBidi" w:cstheme="majorBidi"/>
          <w:sz w:val="24"/>
          <w:szCs w:val="24"/>
        </w:rPr>
        <w:t xml:space="preserve"> TyG index, Global longitudinal strain, Speckle-tracking echocardiography, Heart failure, NSTE-ACS.</w:t>
      </w:r>
    </w:p>
    <w:p w14:paraId="3C6BABD5" w14:textId="77777777" w:rsidR="00AE0505" w:rsidRPr="00C70B7C" w:rsidRDefault="0086027F" w:rsidP="00C70B7C">
      <w:pPr>
        <w:spacing w:before="120" w:after="240" w:line="360" w:lineRule="auto"/>
        <w:jc w:val="both"/>
        <w:rPr>
          <w:rFonts w:asciiTheme="majorBidi" w:hAnsiTheme="majorBidi" w:cstheme="majorBidi"/>
          <w:b/>
          <w:bCs/>
          <w:sz w:val="24"/>
          <w:szCs w:val="24"/>
        </w:rPr>
      </w:pPr>
      <w:r w:rsidRPr="00C70B7C">
        <w:rPr>
          <w:rFonts w:asciiTheme="majorBidi" w:hAnsiTheme="majorBidi" w:cstheme="majorBidi"/>
          <w:b/>
          <w:bCs/>
          <w:sz w:val="24"/>
          <w:szCs w:val="24"/>
        </w:rPr>
        <w:t>Introduction:</w:t>
      </w:r>
    </w:p>
    <w:p w14:paraId="09ABD7C9"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Heart failure (HF) continues to represent a widespread and enduring complication leading to hospitalization among cases diagnosed with coronary heart disease (CHD). Importantly, this risk persists even after successful revascularization procedures, as cases with CHD frequently </w:t>
      </w:r>
      <w:r w:rsidRPr="00C70B7C">
        <w:rPr>
          <w:rFonts w:asciiTheme="majorBidi" w:hAnsiTheme="majorBidi" w:cstheme="majorBidi"/>
          <w:sz w:val="24"/>
          <w:szCs w:val="24"/>
        </w:rPr>
        <w:lastRenderedPageBreak/>
        <w:t xml:space="preserve">demonstrate a sustained vulnerability to progressive left ventricular dysfunction, reflected by reduced ejection fraction (LVEF), which ultimately predisposes them to the development of HF over time </w:t>
      </w:r>
      <w:r w:rsidRPr="00593BD0">
        <w:rPr>
          <w:rFonts w:asciiTheme="majorBidi" w:hAnsiTheme="majorBidi" w:cstheme="majorBidi"/>
          <w:sz w:val="24"/>
          <w:szCs w:val="24"/>
          <w:vertAlign w:val="superscript"/>
        </w:rPr>
        <w:t>(1).</w:t>
      </w:r>
    </w:p>
    <w:p w14:paraId="2081DF7C"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Extensive prior investigations have consistently identified diabetes mellitus (DM), hypertension (HTN), obesity, and multi-vessel coronary artery disease (CAD) as independent predictors of chronic-phase cardiac insufficiency in CHD cohorts. More recently, clinical data have underscored the contributory role of hypertriglyceridemia, implicating disordered lipid metabolism in recurrent cardiovascular events (CVEs). Elevated triglycerides (TG) in CHD cases are now recognized as a potential aggravating factor in the progression of cardiovascular disease (CVD), suggesting a more multifactorial metabolic involvement than previously appreciated </w:t>
      </w:r>
      <w:r w:rsidRPr="00593BD0">
        <w:rPr>
          <w:rFonts w:asciiTheme="majorBidi" w:hAnsiTheme="majorBidi" w:cstheme="majorBidi"/>
          <w:sz w:val="24"/>
          <w:szCs w:val="24"/>
          <w:vertAlign w:val="superscript"/>
        </w:rPr>
        <w:t>(2).</w:t>
      </w:r>
    </w:p>
    <w:p w14:paraId="31676AFE" w14:textId="77777777" w:rsidR="00AE0505" w:rsidRPr="00593BD0" w:rsidRDefault="0086027F" w:rsidP="00C70B7C">
      <w:pPr>
        <w:spacing w:before="120" w:after="240" w:line="360" w:lineRule="auto"/>
        <w:jc w:val="both"/>
        <w:rPr>
          <w:rFonts w:asciiTheme="majorBidi" w:hAnsiTheme="majorBidi" w:cstheme="majorBidi"/>
          <w:sz w:val="24"/>
          <w:szCs w:val="24"/>
          <w:vertAlign w:val="superscript"/>
        </w:rPr>
      </w:pPr>
      <w:r w:rsidRPr="00C70B7C">
        <w:rPr>
          <w:rFonts w:asciiTheme="majorBidi" w:hAnsiTheme="majorBidi" w:cstheme="majorBidi"/>
          <w:sz w:val="24"/>
          <w:szCs w:val="24"/>
        </w:rPr>
        <w:t xml:space="preserve">Despite substantial progress in preventive cardiology, diagnostic methodologies, and therapeutic strategies over recent decades, atherosclerosis continues to represent the principal pathological foundation underlying cardiovascular disease (CVD). Its clinical manifestations, including coronary artery disease (CAD) and cerebrovascular accidents (CVAs), remain the fundamental causes of mortality worldwide. Disruptions in metabolic homeostasis, most notably chronic hyperglycemia and dyslipidemia, are well-recognized as fundamental etio-pathogenic contributors to the development and progression of CVD </w:t>
      </w:r>
      <w:r w:rsidRPr="00593BD0">
        <w:rPr>
          <w:rFonts w:asciiTheme="majorBidi" w:hAnsiTheme="majorBidi" w:cstheme="majorBidi"/>
          <w:sz w:val="24"/>
          <w:szCs w:val="24"/>
          <w:vertAlign w:val="superscript"/>
        </w:rPr>
        <w:t>(3)</w:t>
      </w:r>
    </w:p>
    <w:p w14:paraId="67806F08"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The triglyceride-glucose (TyG) index, first introduced in 2008, has gained traction as a simple yet robust surrogate for insulin resistance (IR), with demonstrated correlations to gold-standard measures such as the hyperinsulinemic-euglycemic clamp and the homeostatic model assessment for IR (HOMA-IR), supporting its clinical and investigational relevance </w:t>
      </w:r>
      <w:r w:rsidRPr="00593BD0">
        <w:rPr>
          <w:rFonts w:asciiTheme="majorBidi" w:hAnsiTheme="majorBidi" w:cstheme="majorBidi"/>
          <w:sz w:val="24"/>
          <w:szCs w:val="24"/>
          <w:vertAlign w:val="superscript"/>
        </w:rPr>
        <w:t>(4).</w:t>
      </w:r>
    </w:p>
    <w:p w14:paraId="4530812A"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Conventional transthoracic echocardiography (TTE) continues to be a cornerstone in noninvasive cardiac imaging, facilitating evaluation of both structural and functional cardiac parameters, even in populations with chronic kidney disease (CKD). However, multiple investigations have shown that assessment of LV mechanics via global longitudinal strain (GLS), a sensitive parameter reflecting myocardial deformation during the cardiac cycle, yields superior diagnostic and prognostic insights compared to LVEF alone </w:t>
      </w:r>
      <w:r w:rsidRPr="00593BD0">
        <w:rPr>
          <w:rFonts w:asciiTheme="majorBidi" w:hAnsiTheme="majorBidi" w:cstheme="majorBidi"/>
          <w:sz w:val="24"/>
          <w:szCs w:val="24"/>
          <w:vertAlign w:val="superscript"/>
        </w:rPr>
        <w:t>(5).</w:t>
      </w:r>
    </w:p>
    <w:p w14:paraId="70D7FA60"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lastRenderedPageBreak/>
        <w:t xml:space="preserve">Two-dimensional speckle-tracking echocardiography (2D-STE) has emerged as an advanced echocardiographic technique enabling quantification of regional and global LV function, as well as left atrial (LA) dynamics. By tracing intrinsic acoustic reflections or “speckles” across sequential frames of the cardiac cycle, 2D-STE provides reproducible measurements of myocardial strain and velocity. Validation investigations using sonomicrometry and cardiac magnetic resonance imaging (MRI) tagging have confirmed its accuracy and clinical utility </w:t>
      </w:r>
      <w:r w:rsidRPr="00593BD0">
        <w:rPr>
          <w:rFonts w:asciiTheme="majorBidi" w:hAnsiTheme="majorBidi" w:cstheme="majorBidi"/>
          <w:sz w:val="24"/>
          <w:szCs w:val="24"/>
          <w:vertAlign w:val="superscript"/>
        </w:rPr>
        <w:t>(6).</w:t>
      </w:r>
    </w:p>
    <w:p w14:paraId="28AD3814"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The TyG index has also been associated with both the occurrence and prognostic trajectory of CVD. Elevated TyG levels correlate with increased CAD incidence, more severe angiographic lesion burden, and poorer long-term outcomes; even among cases initially free of obstructive CAD </w:t>
      </w:r>
      <w:r w:rsidRPr="00593BD0">
        <w:rPr>
          <w:rFonts w:asciiTheme="majorBidi" w:hAnsiTheme="majorBidi" w:cstheme="majorBidi"/>
          <w:sz w:val="24"/>
          <w:szCs w:val="24"/>
          <w:vertAlign w:val="superscript"/>
        </w:rPr>
        <w:t>(7).</w:t>
      </w:r>
    </w:p>
    <w:p w14:paraId="184D0CD8"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Furthermore, increased TyG values have demonstrated a direct relationship with structural LV remodeling, enhanced myocardial fibrosis, and elevated risk for HF progression </w:t>
      </w:r>
      <w:r w:rsidRPr="00593BD0">
        <w:rPr>
          <w:rFonts w:asciiTheme="majorBidi" w:hAnsiTheme="majorBidi" w:cstheme="majorBidi"/>
          <w:sz w:val="24"/>
          <w:szCs w:val="24"/>
          <w:vertAlign w:val="superscript"/>
        </w:rPr>
        <w:t>(8).</w:t>
      </w:r>
    </w:p>
    <w:p w14:paraId="5EF26913"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This investigation assessed the relationship between TyG index and GLS, utilizing 2D-STE to evaluate subclinical LV dysfunction in cases presenting with CHD and HF in the clinical context of non-ST elevation ACS (NSTE-ACS).</w:t>
      </w:r>
    </w:p>
    <w:p w14:paraId="14B5D6FF" w14:textId="77777777" w:rsidR="00AE0505" w:rsidRPr="00C70B7C" w:rsidRDefault="0086027F" w:rsidP="00C70B7C">
      <w:pPr>
        <w:spacing w:before="120" w:after="240" w:line="360" w:lineRule="auto"/>
        <w:jc w:val="both"/>
        <w:rPr>
          <w:rFonts w:asciiTheme="majorBidi" w:hAnsiTheme="majorBidi" w:cstheme="majorBidi"/>
          <w:b/>
          <w:bCs/>
          <w:sz w:val="24"/>
          <w:szCs w:val="24"/>
        </w:rPr>
      </w:pPr>
      <w:r w:rsidRPr="00C70B7C">
        <w:rPr>
          <w:rFonts w:asciiTheme="majorBidi" w:hAnsiTheme="majorBidi" w:cstheme="majorBidi"/>
          <w:b/>
          <w:bCs/>
          <w:sz w:val="24"/>
          <w:szCs w:val="24"/>
        </w:rPr>
        <w:t>Patients and methods:</w:t>
      </w:r>
    </w:p>
    <w:p w14:paraId="1F05A6FE" w14:textId="41F0D64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
          <w:bCs/>
        </w:rPr>
        <w:t xml:space="preserve">Patients: </w:t>
      </w:r>
      <w:r w:rsidRPr="00C70B7C">
        <w:rPr>
          <w:rFonts w:asciiTheme="majorBidi" w:hAnsiTheme="majorBidi" w:cstheme="majorBidi"/>
          <w:bCs/>
        </w:rPr>
        <w:t>This prospective, single-center cohort study enrolled 315 cases diagnosed with NSTE-ACS who were admitted to the coronary care unit at Benha University Hospital between November 2023 and November 2024. Prior to inclusion, informed written consent was obtained from all cases following a comprehensive explanation of the study’s aims and procedures. To ensure confidentiality, each subject was assigned a unique anonymized identification code. The study protocol was reviewed and approved by the Institutional Ethics Committee</w:t>
      </w:r>
      <w:r w:rsidR="007065AA">
        <w:rPr>
          <w:rFonts w:asciiTheme="majorBidi" w:hAnsiTheme="majorBidi" w:cstheme="majorBidi"/>
          <w:bCs/>
        </w:rPr>
        <w:t>(</w:t>
      </w:r>
      <w:r w:rsidR="007065AA" w:rsidRPr="007065AA">
        <w:rPr>
          <w:rFonts w:asciiTheme="majorBidi" w:hAnsiTheme="majorBidi" w:cstheme="majorBidi"/>
          <w:bCs/>
        </w:rPr>
        <w:t>MS 9-11-2023</w:t>
      </w:r>
      <w:r w:rsidR="007065AA">
        <w:rPr>
          <w:rFonts w:asciiTheme="majorBidi" w:hAnsiTheme="majorBidi" w:cstheme="majorBidi"/>
          <w:bCs/>
        </w:rPr>
        <w:t>)</w:t>
      </w:r>
      <w:r w:rsidRPr="00C70B7C">
        <w:rPr>
          <w:rFonts w:asciiTheme="majorBidi" w:hAnsiTheme="majorBidi" w:cstheme="majorBidi"/>
          <w:bCs/>
        </w:rPr>
        <w:t xml:space="preserve"> of the Faculty of Medicine, Benha University.</w:t>
      </w:r>
    </w:p>
    <w:p w14:paraId="36E41426" w14:textId="77777777" w:rsidR="00AE0505" w:rsidRPr="00C70B7C" w:rsidRDefault="0086027F" w:rsidP="00C70B7C">
      <w:pPr>
        <w:pStyle w:val="P"/>
        <w:spacing w:before="120" w:after="240" w:line="360" w:lineRule="auto"/>
        <w:jc w:val="both"/>
        <w:rPr>
          <w:rFonts w:asciiTheme="majorBidi" w:hAnsiTheme="majorBidi" w:cstheme="majorBidi"/>
          <w:b/>
          <w:bCs/>
        </w:rPr>
      </w:pPr>
      <w:r w:rsidRPr="00C70B7C">
        <w:rPr>
          <w:rFonts w:asciiTheme="majorBidi" w:hAnsiTheme="majorBidi" w:cstheme="majorBidi"/>
          <w:b/>
          <w:bCs/>
        </w:rPr>
        <w:t xml:space="preserve">Eligibility Criteria </w:t>
      </w:r>
    </w:p>
    <w:p w14:paraId="66E5C048"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
        </w:rPr>
        <w:t>Inclusion criteria</w:t>
      </w:r>
      <w:r w:rsidRPr="00C70B7C">
        <w:rPr>
          <w:rFonts w:asciiTheme="majorBidi" w:hAnsiTheme="majorBidi" w:cstheme="majorBidi"/>
          <w:bCs/>
        </w:rPr>
        <w:t xml:space="preserve"> comprised adult cases above 18 years of age, of either sex, presenting with a confirmed or suspected diagnosis of ACS. Diagnosis was based on typical ischemic chest discomfort, ECG findings, imaging indicators of myocardial ischemia, or angiographic evidence </w:t>
      </w:r>
      <w:r w:rsidRPr="00C70B7C">
        <w:rPr>
          <w:rFonts w:asciiTheme="majorBidi" w:hAnsiTheme="majorBidi" w:cstheme="majorBidi"/>
          <w:bCs/>
        </w:rPr>
        <w:lastRenderedPageBreak/>
        <w:t>of coronary thrombus. The research specifically focused on cases with NSTE-ACS, encompassing NSTEMI and UA. As per the 2023 ESC guidelines, NSTEMI was identified by elevated hs-cTn in the absence of persistent ST-segment elevation, in conjunction with clinical signs of ischemia. UA was diagnosed in the presence of ischemic symptoms and normal hs-cTn values, with or without accompanying ECG changes.</w:t>
      </w:r>
    </w:p>
    <w:p w14:paraId="170E7921"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
        </w:rPr>
        <w:t>Exclusion criteria</w:t>
      </w:r>
      <w:r w:rsidRPr="00C70B7C">
        <w:rPr>
          <w:rFonts w:asciiTheme="majorBidi" w:hAnsiTheme="majorBidi" w:cstheme="majorBidi"/>
          <w:bCs/>
        </w:rPr>
        <w:t xml:space="preserve"> included chronic infectious illness, hepatic or renal insufficiency with creatinine clearance &lt;15 mL/min, and any malignant hematologic disorder. Other criteria for exclusion were severe valvular abnormalities, prior diagnosis of HF, extreme obesity (BMI ≥45 kg/m²), neuropsychiatric illness, suspected familial hypertriglyceridemia (TG ≥500 mg/dL), or absence of baseline TyG index data.</w:t>
      </w:r>
    </w:p>
    <w:p w14:paraId="21499AD7"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
          <w:bCs/>
        </w:rPr>
        <w:t>Grouping</w:t>
      </w:r>
    </w:p>
    <w:p w14:paraId="1FC5F842"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Cs/>
        </w:rPr>
        <w:t>The enrolled population was stratified into two subgroups according to the median TyG value. Group I (n = 147) included cases with a TyG index &lt;8.47, while Group II (n = 168) consisted of cases with TyG ≥8.47.</w:t>
      </w:r>
    </w:p>
    <w:p w14:paraId="08D1C0C4"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
          <w:bCs/>
        </w:rPr>
        <w:t>Clinical and Laboratory Evaluation</w:t>
      </w:r>
    </w:p>
    <w:p w14:paraId="71DCC8EF"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Cs/>
        </w:rPr>
        <w:t>All cases underwent standardized evaluations, including detailed history and clinical examination. Demographic data included name, age, sex, and BMI. Cardiovascular history emphasized typical HF-related symptoms (dyspnea, orthopnea, paroxysmal nocturnal dyspnea, and exertional intolerance). Documentation of comorbidities such as HTN, DM, dyslipidemia, and CHF was also completed. Physical examination involved general inspection for congestion, along with assessment of pulse, HR, SBP, and DBP.</w:t>
      </w:r>
    </w:p>
    <w:p w14:paraId="3E157FB2"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Cs/>
        </w:rPr>
        <w:t>Laboratory workup included CBC, RBS, kidney and liver function panels, CK-MB, and troponin. Lipid profile analysis covered TGs, LDL, HDL, VLDL, and TC.</w:t>
      </w:r>
    </w:p>
    <w:p w14:paraId="59D0A7B4"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Cs/>
        </w:rPr>
        <w:t>The TyG index was derived using a logarithmic transformation of the product of fasting TG and fasting plasma glucose concentrations, standardized to account for variations in reporting units. When biochemical parameters were expressed in mg/dL, the index was calculated as follows:</w:t>
      </w:r>
    </w:p>
    <w:p w14:paraId="34BE8EA4" w14:textId="77777777" w:rsidR="00AE0505" w:rsidRPr="00C70B7C" w:rsidRDefault="0086027F" w:rsidP="00C70B7C">
      <w:pPr>
        <w:pStyle w:val="P"/>
        <w:spacing w:before="120" w:after="240" w:line="360" w:lineRule="auto"/>
        <w:jc w:val="both"/>
        <w:rPr>
          <w:rFonts w:asciiTheme="majorBidi" w:hAnsiTheme="majorBidi" w:cstheme="majorBidi"/>
          <w:bCs/>
        </w:rPr>
      </w:pPr>
      <m:oMathPara>
        <m:oMath>
          <m:r>
            <w:rPr>
              <w:rFonts w:ascii="Cambria Math" w:hAnsi="Cambria Math" w:cstheme="majorBidi"/>
            </w:rPr>
            <w:lastRenderedPageBreak/>
            <m:t>TyG=Ln[</m:t>
          </m:r>
          <m:r>
            <m:rPr>
              <m:sty m:val="p"/>
            </m:rPr>
            <w:rPr>
              <w:rFonts w:ascii="Cambria Math" w:eastAsia="SimSun" w:hAnsi="Cambria Math" w:cstheme="majorBidi"/>
            </w:rPr>
            <m:t>fasting TG (</m:t>
          </m:r>
          <m:f>
            <m:fPr>
              <m:type m:val="lin"/>
              <m:ctrlPr>
                <w:rPr>
                  <w:rFonts w:ascii="Cambria Math" w:eastAsia="SimSun" w:hAnsi="Cambria Math" w:cstheme="majorBidi"/>
                  <w:bCs/>
                </w:rPr>
              </m:ctrlPr>
            </m:fPr>
            <m:num>
              <m:r>
                <m:rPr>
                  <m:sty m:val="p"/>
                </m:rPr>
                <w:rPr>
                  <w:rFonts w:ascii="Cambria Math" w:eastAsia="SimSun" w:hAnsi="Cambria Math" w:cstheme="majorBidi"/>
                </w:rPr>
                <m:t>mg</m:t>
              </m:r>
            </m:num>
            <m:den>
              <m:r>
                <w:rPr>
                  <w:rFonts w:ascii="Cambria Math" w:eastAsia="SimSun" w:hAnsi="Cambria Math" w:cstheme="majorBidi"/>
                </w:rPr>
                <m:t>dL)</m:t>
              </m:r>
            </m:den>
          </m:f>
          <m:r>
            <w:rPr>
              <w:rFonts w:ascii="Cambria Math" w:eastAsia="SimSun" w:hAnsi="Cambria Math" w:cstheme="majorBidi"/>
            </w:rPr>
            <m:t>×fasting glucose</m:t>
          </m:r>
          <m:r>
            <m:rPr>
              <m:sty m:val="p"/>
            </m:rPr>
            <w:rPr>
              <w:rFonts w:ascii="Cambria Math" w:eastAsia="SimSun" w:hAnsi="Cambria Math" w:cstheme="majorBidi"/>
            </w:rPr>
            <m:t xml:space="preserve"> (</m:t>
          </m:r>
          <m:f>
            <m:fPr>
              <m:type m:val="lin"/>
              <m:ctrlPr>
                <w:rPr>
                  <w:rFonts w:ascii="Cambria Math" w:eastAsia="SimSun" w:hAnsi="Cambria Math" w:cstheme="majorBidi"/>
                  <w:bCs/>
                </w:rPr>
              </m:ctrlPr>
            </m:fPr>
            <m:num>
              <m:r>
                <m:rPr>
                  <m:sty m:val="p"/>
                </m:rPr>
                <w:rPr>
                  <w:rFonts w:ascii="Cambria Math" w:eastAsia="SimSun" w:hAnsi="Cambria Math" w:cstheme="majorBidi"/>
                </w:rPr>
                <m:t>mg</m:t>
              </m:r>
            </m:num>
            <m:den>
              <m:r>
                <w:rPr>
                  <w:rFonts w:ascii="Cambria Math" w:eastAsia="SimSun" w:hAnsi="Cambria Math" w:cstheme="majorBidi"/>
                </w:rPr>
                <m:t>dL)</m:t>
              </m:r>
            </m:den>
          </m:f>
          <m:r>
            <w:rPr>
              <w:rFonts w:ascii="Cambria Math" w:eastAsia="SimSun" w:hAnsi="Cambria Math" w:cstheme="majorBidi"/>
            </w:rPr>
            <m:t xml:space="preserve">]/2 </m:t>
          </m:r>
        </m:oMath>
      </m:oMathPara>
    </w:p>
    <w:p w14:paraId="0D72F2C9"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Cs/>
        </w:rPr>
        <w:t>In cases where analytes were reported in mmol/L, the following unit-adjusted formula was applied to ensure equivalency:</w:t>
      </w:r>
    </w:p>
    <w:p w14:paraId="0DD8CE42" w14:textId="77777777" w:rsidR="00AE0505" w:rsidRPr="00C70B7C" w:rsidRDefault="0086027F" w:rsidP="00C70B7C">
      <w:pPr>
        <w:pStyle w:val="P"/>
        <w:spacing w:before="120" w:after="240" w:line="360" w:lineRule="auto"/>
        <w:jc w:val="both"/>
        <w:rPr>
          <w:rFonts w:asciiTheme="majorBidi" w:hAnsiTheme="majorBidi" w:cstheme="majorBidi"/>
          <w:bCs/>
        </w:rPr>
      </w:pPr>
      <m:oMathPara>
        <m:oMath>
          <m:r>
            <w:rPr>
              <w:rFonts w:ascii="Cambria Math" w:hAnsi="Cambria Math" w:cstheme="majorBidi"/>
            </w:rPr>
            <m:t>TyG=Ln[</m:t>
          </m:r>
          <m:r>
            <m:rPr>
              <m:sty m:val="p"/>
            </m:rPr>
            <w:rPr>
              <w:rFonts w:ascii="Cambria Math" w:eastAsia="SimSun" w:hAnsi="Cambria Math" w:cstheme="majorBidi"/>
            </w:rPr>
            <m:t>fasting TG (</m:t>
          </m:r>
          <m:f>
            <m:fPr>
              <m:type m:val="lin"/>
              <m:ctrlPr>
                <w:rPr>
                  <w:rFonts w:ascii="Cambria Math" w:eastAsia="SimSun" w:hAnsi="Cambria Math" w:cstheme="majorBidi"/>
                  <w:bCs/>
                </w:rPr>
              </m:ctrlPr>
            </m:fPr>
            <m:num>
              <m:r>
                <m:rPr>
                  <m:sty m:val="p"/>
                </m:rPr>
                <w:rPr>
                  <w:rFonts w:ascii="Cambria Math" w:eastAsia="SimSun" w:hAnsi="Cambria Math" w:cstheme="majorBidi"/>
                </w:rPr>
                <m:t>mmol</m:t>
              </m:r>
            </m:num>
            <m:den>
              <m:r>
                <w:rPr>
                  <w:rFonts w:ascii="Cambria Math" w:eastAsia="SimSun" w:hAnsi="Cambria Math" w:cstheme="majorBidi"/>
                </w:rPr>
                <m:t>L)</m:t>
              </m:r>
            </m:den>
          </m:f>
          <m:r>
            <w:rPr>
              <w:rFonts w:ascii="Cambria Math" w:eastAsia="SimSun" w:hAnsi="Cambria Math" w:cstheme="majorBidi"/>
            </w:rPr>
            <m:t>×88.57×fasting glucose</m:t>
          </m:r>
          <m:r>
            <m:rPr>
              <m:sty m:val="p"/>
            </m:rPr>
            <w:rPr>
              <w:rFonts w:ascii="Cambria Math" w:eastAsia="SimSun" w:hAnsi="Cambria Math" w:cstheme="majorBidi"/>
            </w:rPr>
            <m:t xml:space="preserve"> (</m:t>
          </m:r>
          <m:f>
            <m:fPr>
              <m:type m:val="lin"/>
              <m:ctrlPr>
                <w:rPr>
                  <w:rFonts w:ascii="Cambria Math" w:eastAsia="SimSun" w:hAnsi="Cambria Math" w:cstheme="majorBidi"/>
                  <w:bCs/>
                </w:rPr>
              </m:ctrlPr>
            </m:fPr>
            <m:num>
              <m:r>
                <m:rPr>
                  <m:sty m:val="p"/>
                </m:rPr>
                <w:rPr>
                  <w:rFonts w:ascii="Cambria Math" w:eastAsia="SimSun" w:hAnsi="Cambria Math" w:cstheme="majorBidi"/>
                </w:rPr>
                <m:t>mmol</m:t>
              </m:r>
            </m:num>
            <m:den>
              <m:r>
                <w:rPr>
                  <w:rFonts w:ascii="Cambria Math" w:eastAsia="SimSun" w:hAnsi="Cambria Math" w:cstheme="majorBidi"/>
                </w:rPr>
                <m:t>L)</m:t>
              </m:r>
            </m:den>
          </m:f>
          <m:r>
            <w:rPr>
              <w:rFonts w:ascii="Cambria Math" w:eastAsia="SimSun" w:hAnsi="Cambria Math" w:cstheme="majorBidi"/>
            </w:rPr>
            <m:t xml:space="preserve">×18]/2 </m:t>
          </m:r>
        </m:oMath>
      </m:oMathPara>
    </w:p>
    <w:p w14:paraId="516D6728"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
          <w:bCs/>
        </w:rPr>
        <w:t>ECG Analysis</w:t>
      </w:r>
    </w:p>
    <w:p w14:paraId="6D1B57AC" w14:textId="79374C10"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Cs/>
        </w:rPr>
        <w:t xml:space="preserve">A standard 12-lead ECG was performed for all cases to validate diagnosis, identify rhythm disturbances, and assess </w:t>
      </w:r>
      <w:r w:rsidR="006F3EF9" w:rsidRPr="00C70B7C">
        <w:rPr>
          <w:rFonts w:asciiTheme="majorBidi" w:hAnsiTheme="majorBidi" w:cstheme="majorBidi"/>
          <w:bCs/>
        </w:rPr>
        <w:t>ST segment deviations, T wave abnormalities</w:t>
      </w:r>
      <w:r w:rsidRPr="00C70B7C">
        <w:rPr>
          <w:rFonts w:asciiTheme="majorBidi" w:hAnsiTheme="majorBidi" w:cstheme="majorBidi"/>
          <w:bCs/>
        </w:rPr>
        <w:t xml:space="preserve"> or chamber enlargement.</w:t>
      </w:r>
    </w:p>
    <w:p w14:paraId="4CFF6223"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
          <w:bCs/>
        </w:rPr>
        <w:t>Echocardiographic Protocoly</w:t>
      </w:r>
    </w:p>
    <w:p w14:paraId="7C64ADE8"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Cs/>
        </w:rPr>
        <w:t>All TTE assessments were carried out utilizing a high-definition imaging platform (EPIQ 7C; Philips, Amsterdam, The Netherlands) featuring a broadband S5-1 transducer. Imaging modalities, including 2D, M-mode, and Doppler, were acquired following the protocol outlined by the American Society of Echocardiography (ASE), with data securely stored on magneto-optical media and the EchoPAC archive system (Image Vault 5.0; GE Healthcare, Horten, Norway). Heart rate (HR) measurements were recorded while cases were in the supine position during echocardiographic capture. Immediately after the TTE, systolic (SBP) and diastolic blood pressures (DBP) were obtained in the same posture.</w:t>
      </w:r>
    </w:p>
    <w:p w14:paraId="3D708B47"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Cs/>
        </w:rPr>
        <w:t>Standardized cardiac measurements were obtained from the parasternal long-axis view and included LVIDd, SWTd, PWTd, and LADs. These parameters were selected to assess key structural aspects of LV and atrial dimensions. RWT was calculated using the formula (SWTd + PWTd) / LVIDd, while MWT was defined as the average thickness of the septal and inferior LV walls. LVEF was determined using the modified Simpson’s biplane method, which offers a reliable estimate of systolic performance.</w:t>
      </w:r>
    </w:p>
    <w:p w14:paraId="219BEF26"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Cs/>
        </w:rPr>
        <w:t>LVM was calculated from M-mode images in the parasternal long-axis view using the Devereux equation, in line with ASE guidelines. To standardize for body size, LVM was indexed to BSA to yield LVMI. LVH was defined as LVMI &gt;95 g/m² in females and &gt;115 g/m² in males, based on ASE criteria.</w:t>
      </w:r>
    </w:p>
    <w:p w14:paraId="76323BCD"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Cs/>
        </w:rPr>
        <w:lastRenderedPageBreak/>
        <w:t>All quantitative values represented the mean of three consecutive cardiac cycles to ensure consistency. Myocardial strain imaging was performed using 2D-STE by two independent cardiologists blinded to clinical and laboratory information. Offline analysis was conducted using specialized software, and data were included only when image quality allowed for complete and accurate speckle tracking throughout the cardiac cycle.</w:t>
      </w:r>
    </w:p>
    <w:p w14:paraId="002D0DC1"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Cs/>
        </w:rPr>
        <w:t>GLS was measured from apical four-, two-, and three-chamber views using 2D grayscale imaging, following EACVI and ASE recommendations. Strain curves were automatically generated and then reviewed for reliability by both observers.</w:t>
      </w:r>
    </w:p>
    <w:p w14:paraId="5B755657" w14:textId="77777777" w:rsidR="00AE0505" w:rsidRPr="00C70B7C" w:rsidRDefault="0086027F" w:rsidP="00C70B7C">
      <w:pPr>
        <w:pStyle w:val="P"/>
        <w:spacing w:before="120" w:after="240" w:line="360" w:lineRule="auto"/>
        <w:jc w:val="both"/>
        <w:rPr>
          <w:rFonts w:asciiTheme="majorBidi" w:hAnsiTheme="majorBidi" w:cstheme="majorBidi"/>
          <w:bCs/>
        </w:rPr>
      </w:pPr>
      <w:r w:rsidRPr="00C70B7C">
        <w:rPr>
          <w:rFonts w:asciiTheme="majorBidi" w:hAnsiTheme="majorBidi" w:cstheme="majorBidi"/>
          <w:b/>
          <w:bCs/>
        </w:rPr>
        <w:t>Pulsed-Wave Doppler Assessment</w:t>
      </w:r>
    </w:p>
    <w:p w14:paraId="3F7E2E69" w14:textId="77777777" w:rsidR="00AE0505" w:rsidRPr="00C70B7C" w:rsidRDefault="0086027F" w:rsidP="00C70B7C">
      <w:pPr>
        <w:spacing w:before="120" w:after="240" w:line="36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 xml:space="preserve">Pulsed-wave (PW) Doppler assessment of mitral inflow dynamics was performed by placing a 2 mm sample volume at the tips of the mitral valve leaflets, visualized from the apical four-chamber view. To ensure measurement accuracy and account for beat-to-beat variability, data were collected over ten consecutive cardiac cycles and averaged. Several key parameters of diastolic function were evaluated, including the peak early diastolic velocity (E wave), which reflects passive ventricular filling during early diastole, and the peak late diastolic velocity (A wave), which corresponds to atrial contraction-mediated filling. Transmitral deceleration time (E-DT) was also assessed and defined as the interval from the peak of the E wave to its return to baseline, with a normal physiological range of 160 to 260 milliseconds. Additionally, isovolumic relaxation time (IVRT), representing the time between aortic valve closure and mitral valve opening, was measured by positioning the PW Doppler sample volume near the LV outflow tract, adjacent to the anterior mitral leaflet. The normal range for IVRT is considered to be between 60 and 100 milliseconds </w:t>
      </w:r>
      <w:r w:rsidRPr="00593BD0">
        <w:rPr>
          <w:rFonts w:asciiTheme="majorBidi" w:hAnsiTheme="majorBidi" w:cstheme="majorBidi"/>
          <w:bCs/>
          <w:sz w:val="24"/>
          <w:szCs w:val="24"/>
          <w:vertAlign w:val="superscript"/>
        </w:rPr>
        <w:t>(9).</w:t>
      </w:r>
    </w:p>
    <w:p w14:paraId="66C73C19" w14:textId="447B325C" w:rsidR="00AE0505" w:rsidRPr="00C70B7C" w:rsidRDefault="0086027F" w:rsidP="007065AA">
      <w:pPr>
        <w:pStyle w:val="P"/>
        <w:spacing w:before="120" w:after="240" w:line="360" w:lineRule="auto"/>
        <w:jc w:val="both"/>
        <w:rPr>
          <w:rFonts w:asciiTheme="majorBidi" w:hAnsiTheme="majorBidi" w:cstheme="majorBidi"/>
          <w:bCs/>
        </w:rPr>
      </w:pPr>
      <w:r w:rsidRPr="007065AA">
        <w:rPr>
          <w:rFonts w:asciiTheme="majorBidi" w:hAnsiTheme="majorBidi" w:cstheme="majorBidi"/>
          <w:b/>
          <w:bCs/>
          <w:highlight w:val="yellow"/>
        </w:rPr>
        <w:t>Ethical Approval</w:t>
      </w:r>
      <w:r w:rsidR="007065AA" w:rsidRPr="007065AA">
        <w:rPr>
          <w:rFonts w:asciiTheme="majorBidi" w:hAnsiTheme="majorBidi" w:cstheme="majorBidi"/>
          <w:b/>
          <w:bCs/>
          <w:highlight w:val="yellow"/>
        </w:rPr>
        <w:t>: MS 9-11-2023</w:t>
      </w:r>
    </w:p>
    <w:p w14:paraId="04596FA4" w14:textId="77777777" w:rsidR="00AE0505" w:rsidRPr="00C70B7C" w:rsidRDefault="0086027F" w:rsidP="00C70B7C">
      <w:pPr>
        <w:spacing w:before="120" w:after="240" w:line="360" w:lineRule="auto"/>
        <w:jc w:val="both"/>
        <w:rPr>
          <w:rFonts w:asciiTheme="majorBidi" w:hAnsiTheme="majorBidi" w:cstheme="majorBidi"/>
          <w:b/>
          <w:bCs/>
          <w:sz w:val="24"/>
          <w:szCs w:val="24"/>
          <w:lang w:val="en-GB"/>
        </w:rPr>
      </w:pPr>
      <w:r w:rsidRPr="00C70B7C">
        <w:rPr>
          <w:rFonts w:asciiTheme="majorBidi" w:hAnsiTheme="majorBidi" w:cstheme="majorBidi"/>
          <w:b/>
          <w:bCs/>
          <w:sz w:val="24"/>
          <w:szCs w:val="24"/>
          <w:lang w:val="en-GB"/>
        </w:rPr>
        <w:t>Results:</w:t>
      </w:r>
    </w:p>
    <w:p w14:paraId="761C90E9" w14:textId="77777777" w:rsidR="00AE0505" w:rsidRDefault="0086027F" w:rsidP="00C70B7C">
      <w:pPr>
        <w:spacing w:before="120" w:after="240" w:line="360" w:lineRule="auto"/>
        <w:jc w:val="both"/>
        <w:rPr>
          <w:rFonts w:asciiTheme="majorBidi" w:hAnsiTheme="majorBidi" w:cstheme="majorBidi"/>
          <w:b/>
          <w:bCs/>
          <w:sz w:val="24"/>
          <w:szCs w:val="24"/>
        </w:rPr>
      </w:pPr>
      <w:r w:rsidRPr="00C70B7C">
        <w:rPr>
          <w:rFonts w:asciiTheme="majorBidi" w:hAnsiTheme="majorBidi" w:cstheme="majorBidi"/>
          <w:sz w:val="24"/>
          <w:szCs w:val="24"/>
        </w:rPr>
        <w:t xml:space="preserve">A comparative analysis indicated that cases with a TyG index ≥8.47 had a significantly elevated prevalence of DM than those with TyG &lt;8.47 (80.4% vs. 15.6%, </w:t>
      </w:r>
      <w:r w:rsidRPr="00C70B7C">
        <w:rPr>
          <w:rFonts w:asciiTheme="majorBidi" w:hAnsiTheme="majorBidi" w:cstheme="majorBidi"/>
          <w:i/>
          <w:iCs/>
          <w:sz w:val="24"/>
          <w:szCs w:val="24"/>
        </w:rPr>
        <w:t>P&lt;</w:t>
      </w:r>
      <w:r w:rsidRPr="00C70B7C">
        <w:rPr>
          <w:rFonts w:asciiTheme="majorBidi" w:hAnsiTheme="majorBidi" w:cstheme="majorBidi"/>
          <w:sz w:val="24"/>
          <w:szCs w:val="24"/>
        </w:rPr>
        <w:t>0.001). Other clinical variables were comparable between the two groups, including age (</w:t>
      </w:r>
      <w:r w:rsidRPr="00C70B7C">
        <w:rPr>
          <w:rFonts w:asciiTheme="majorBidi" w:hAnsiTheme="majorBidi" w:cstheme="majorBidi"/>
          <w:i/>
          <w:iCs/>
          <w:sz w:val="24"/>
          <w:szCs w:val="24"/>
        </w:rPr>
        <w:t>P=</w:t>
      </w:r>
      <w:r w:rsidRPr="00C70B7C">
        <w:rPr>
          <w:rFonts w:asciiTheme="majorBidi" w:hAnsiTheme="majorBidi" w:cstheme="majorBidi"/>
          <w:sz w:val="24"/>
          <w:szCs w:val="24"/>
        </w:rPr>
        <w:t>0.578), gender (</w:t>
      </w:r>
      <w:r w:rsidRPr="00C70B7C">
        <w:rPr>
          <w:rFonts w:asciiTheme="majorBidi" w:hAnsiTheme="majorBidi" w:cstheme="majorBidi"/>
          <w:i/>
          <w:iCs/>
          <w:sz w:val="24"/>
          <w:szCs w:val="24"/>
        </w:rPr>
        <w:t>P=</w:t>
      </w:r>
      <w:r w:rsidRPr="00C70B7C">
        <w:rPr>
          <w:rFonts w:asciiTheme="majorBidi" w:hAnsiTheme="majorBidi" w:cstheme="majorBidi"/>
          <w:sz w:val="24"/>
          <w:szCs w:val="24"/>
        </w:rPr>
        <w:t>0.782), BMI (</w:t>
      </w:r>
      <w:r w:rsidRPr="00C70B7C">
        <w:rPr>
          <w:rFonts w:asciiTheme="majorBidi" w:hAnsiTheme="majorBidi" w:cstheme="majorBidi"/>
          <w:i/>
          <w:iCs/>
          <w:sz w:val="24"/>
          <w:szCs w:val="24"/>
        </w:rPr>
        <w:t>P=</w:t>
      </w:r>
      <w:r w:rsidRPr="00C70B7C">
        <w:rPr>
          <w:rFonts w:asciiTheme="majorBidi" w:hAnsiTheme="majorBidi" w:cstheme="majorBidi"/>
          <w:sz w:val="24"/>
          <w:szCs w:val="24"/>
        </w:rPr>
        <w:t>0.665), clinical presentation (</w:t>
      </w:r>
      <w:r w:rsidRPr="00C70B7C">
        <w:rPr>
          <w:rFonts w:asciiTheme="majorBidi" w:hAnsiTheme="majorBidi" w:cstheme="majorBidi"/>
          <w:i/>
          <w:iCs/>
          <w:sz w:val="24"/>
          <w:szCs w:val="24"/>
        </w:rPr>
        <w:t>P=</w:t>
      </w:r>
      <w:r w:rsidRPr="00C70B7C">
        <w:rPr>
          <w:rFonts w:asciiTheme="majorBidi" w:hAnsiTheme="majorBidi" w:cstheme="majorBidi"/>
          <w:sz w:val="24"/>
          <w:szCs w:val="24"/>
        </w:rPr>
        <w:t>0.158), SBP (</w:t>
      </w:r>
      <w:r w:rsidRPr="00C70B7C">
        <w:rPr>
          <w:rFonts w:asciiTheme="majorBidi" w:hAnsiTheme="majorBidi" w:cstheme="majorBidi"/>
          <w:i/>
          <w:iCs/>
          <w:sz w:val="24"/>
          <w:szCs w:val="24"/>
        </w:rPr>
        <w:t>P=</w:t>
      </w:r>
      <w:r w:rsidRPr="00C70B7C">
        <w:rPr>
          <w:rFonts w:asciiTheme="majorBidi" w:hAnsiTheme="majorBidi" w:cstheme="majorBidi"/>
          <w:sz w:val="24"/>
          <w:szCs w:val="24"/>
        </w:rPr>
        <w:t>0.651), DBP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0.509), HR </w:t>
      </w:r>
      <w:r w:rsidRPr="00C70B7C">
        <w:rPr>
          <w:rFonts w:asciiTheme="majorBidi" w:hAnsiTheme="majorBidi" w:cstheme="majorBidi"/>
          <w:sz w:val="24"/>
          <w:szCs w:val="24"/>
        </w:rPr>
        <w:lastRenderedPageBreak/>
        <w:t>(</w:t>
      </w:r>
      <w:r w:rsidRPr="00C70B7C">
        <w:rPr>
          <w:rFonts w:asciiTheme="majorBidi" w:hAnsiTheme="majorBidi" w:cstheme="majorBidi"/>
          <w:i/>
          <w:iCs/>
          <w:sz w:val="24"/>
          <w:szCs w:val="24"/>
        </w:rPr>
        <w:t>P=</w:t>
      </w:r>
      <w:r w:rsidRPr="00C70B7C">
        <w:rPr>
          <w:rFonts w:asciiTheme="majorBidi" w:hAnsiTheme="majorBidi" w:cstheme="majorBidi"/>
          <w:sz w:val="24"/>
          <w:szCs w:val="24"/>
        </w:rPr>
        <w:t>0.437), RR (</w:t>
      </w:r>
      <w:r w:rsidRPr="00C70B7C">
        <w:rPr>
          <w:rFonts w:asciiTheme="majorBidi" w:hAnsiTheme="majorBidi" w:cstheme="majorBidi"/>
          <w:i/>
          <w:iCs/>
          <w:sz w:val="24"/>
          <w:szCs w:val="24"/>
        </w:rPr>
        <w:t>P=</w:t>
      </w:r>
      <w:r w:rsidRPr="00C70B7C">
        <w:rPr>
          <w:rFonts w:asciiTheme="majorBidi" w:hAnsiTheme="majorBidi" w:cstheme="majorBidi"/>
          <w:sz w:val="24"/>
          <w:szCs w:val="24"/>
        </w:rPr>
        <w:t>0.933), SpO₂ (</w:t>
      </w:r>
      <w:r w:rsidRPr="00C70B7C">
        <w:rPr>
          <w:rFonts w:asciiTheme="majorBidi" w:hAnsiTheme="majorBidi" w:cstheme="majorBidi"/>
          <w:i/>
          <w:iCs/>
          <w:sz w:val="24"/>
          <w:szCs w:val="24"/>
        </w:rPr>
        <w:t>P=</w:t>
      </w:r>
      <w:r w:rsidRPr="00C70B7C">
        <w:rPr>
          <w:rFonts w:asciiTheme="majorBidi" w:hAnsiTheme="majorBidi" w:cstheme="majorBidi"/>
          <w:sz w:val="24"/>
          <w:szCs w:val="24"/>
        </w:rPr>
        <w:t>0.609), temperature (</w:t>
      </w:r>
      <w:r w:rsidRPr="00C70B7C">
        <w:rPr>
          <w:rFonts w:asciiTheme="majorBidi" w:hAnsiTheme="majorBidi" w:cstheme="majorBidi"/>
          <w:i/>
          <w:iCs/>
          <w:sz w:val="24"/>
          <w:szCs w:val="24"/>
        </w:rPr>
        <w:t>P=</w:t>
      </w:r>
      <w:r w:rsidRPr="00C70B7C">
        <w:rPr>
          <w:rFonts w:asciiTheme="majorBidi" w:hAnsiTheme="majorBidi" w:cstheme="majorBidi"/>
          <w:sz w:val="24"/>
          <w:szCs w:val="24"/>
        </w:rPr>
        <w:t>0.707), smoking status (</w:t>
      </w:r>
      <w:r w:rsidRPr="00C70B7C">
        <w:rPr>
          <w:rFonts w:asciiTheme="majorBidi" w:hAnsiTheme="majorBidi" w:cstheme="majorBidi"/>
          <w:i/>
          <w:iCs/>
          <w:sz w:val="24"/>
          <w:szCs w:val="24"/>
        </w:rPr>
        <w:t>P=</w:t>
      </w:r>
      <w:r w:rsidRPr="00C70B7C">
        <w:rPr>
          <w:rFonts w:asciiTheme="majorBidi" w:hAnsiTheme="majorBidi" w:cstheme="majorBidi"/>
          <w:sz w:val="24"/>
          <w:szCs w:val="24"/>
        </w:rPr>
        <w:t>0.268), HTN (</w:t>
      </w:r>
      <w:r w:rsidRPr="00C70B7C">
        <w:rPr>
          <w:rFonts w:asciiTheme="majorBidi" w:hAnsiTheme="majorBidi" w:cstheme="majorBidi"/>
          <w:i/>
          <w:iCs/>
          <w:sz w:val="24"/>
          <w:szCs w:val="24"/>
        </w:rPr>
        <w:t>P=</w:t>
      </w:r>
      <w:r w:rsidRPr="00C70B7C">
        <w:rPr>
          <w:rFonts w:asciiTheme="majorBidi" w:hAnsiTheme="majorBidi" w:cstheme="majorBidi"/>
          <w:sz w:val="24"/>
          <w:szCs w:val="24"/>
        </w:rPr>
        <w:t>0.439), prior stroke (</w:t>
      </w:r>
      <w:r w:rsidRPr="00C70B7C">
        <w:rPr>
          <w:rFonts w:asciiTheme="majorBidi" w:hAnsiTheme="majorBidi" w:cstheme="majorBidi"/>
          <w:i/>
          <w:iCs/>
          <w:sz w:val="24"/>
          <w:szCs w:val="24"/>
        </w:rPr>
        <w:t>P=</w:t>
      </w:r>
      <w:r w:rsidRPr="00C70B7C">
        <w:rPr>
          <w:rFonts w:asciiTheme="majorBidi" w:hAnsiTheme="majorBidi" w:cstheme="majorBidi"/>
          <w:sz w:val="24"/>
          <w:szCs w:val="24"/>
        </w:rPr>
        <w:t>0.086), and other comorbidities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0.231). </w:t>
      </w:r>
      <w:r w:rsidRPr="00C70B7C">
        <w:rPr>
          <w:rFonts w:asciiTheme="majorBidi" w:hAnsiTheme="majorBidi" w:cstheme="majorBidi"/>
          <w:b/>
          <w:bCs/>
          <w:sz w:val="24"/>
          <w:szCs w:val="24"/>
        </w:rPr>
        <w:t>(Table 1)</w:t>
      </w:r>
    </w:p>
    <w:p w14:paraId="246893D6" w14:textId="77777777" w:rsidR="00D777D6" w:rsidRPr="00C16930" w:rsidRDefault="00D777D6" w:rsidP="00D777D6">
      <w:pPr>
        <w:pStyle w:val="P"/>
        <w:spacing w:before="120" w:after="240" w:line="360" w:lineRule="auto"/>
        <w:jc w:val="both"/>
        <w:rPr>
          <w:lang w:val="en-GB"/>
        </w:rPr>
      </w:pPr>
      <w:r w:rsidRPr="00C16930">
        <w:t xml:space="preserve">The TyG index showed significant associations with several echocardiographic parameters. It had a strong negative correlation with global longitudinal strain (GLS) (r = -0.673, P &lt; 0.001), indicating that higher TyG levels were linked to worse myocardial deformation. It also showed a moderate negative correlation with three-dimensional ejection fraction (STE 3D-EF) (r = -0.445, P &lt; 0.001) and a similar inverse relationship with conventional ejection fraction (EF%) (r = -0.401, P &lt; 0.001). On the other hand, the TyG index was positively correlated with end-diastolic volume (EDV) (r = 0.297, P &lt; 0.001) and end-systolic volume (ESV) (r = 0.319, P &lt; 0.001), suggesting a link to increased cardiac chamber size. </w:t>
      </w:r>
      <w:r w:rsidRPr="00C16930">
        <w:rPr>
          <w:b/>
          <w:bCs/>
        </w:rPr>
        <w:t>Table 2,</w:t>
      </w:r>
      <w:r w:rsidRPr="00C16930">
        <w:rPr>
          <w:rFonts w:eastAsia="Aptos"/>
          <w:b/>
          <w:bCs/>
        </w:rPr>
        <w:t xml:space="preserve"> </w:t>
      </w:r>
      <w:r w:rsidRPr="00C16930">
        <w:rPr>
          <w:b/>
          <w:bCs/>
        </w:rPr>
        <w:t>Figure 1</w:t>
      </w:r>
    </w:p>
    <w:p w14:paraId="5AFC4804" w14:textId="77777777" w:rsidR="00D777D6" w:rsidRPr="00C16930" w:rsidRDefault="00D777D6" w:rsidP="00D777D6">
      <w:pPr>
        <w:pStyle w:val="P"/>
        <w:spacing w:before="120" w:after="240" w:line="360" w:lineRule="auto"/>
        <w:jc w:val="both"/>
        <w:rPr>
          <w:lang w:val="en-GB"/>
        </w:rPr>
      </w:pPr>
      <w:r w:rsidRPr="00C16930">
        <w:t xml:space="preserve">Patients with a TyG index ≥ 8.47 had significantly lower left ventricular function compared to those with a TyG index &lt; 8.47. Their conventional ejection fraction (EF%) was reduced (51 ± 11% vs. 57 ± 8%, P &lt; 0.001), as was their three-dimensional ejection fraction (STE 3D-EF) (45 ± 12% vs. 52 ± 9%, P &lt; 0.001). They also had significantly larger end-diastolic volume (EDV) (5.17 ± 0.82 vs. 4.9 ± 0.68, P = 0.001) and higher end-systolic volume (ESV) (3.9 ± 0.83 vs. 3.57 ± 0.73, P &lt; 0.001). In addition, global longitudinal strain (GLS) was more impaired in this group (-14.6 ± 4.1 vs. -18.3 ± 2.4, P &lt; 0.001). Patients with a TyG index ≥ 8.47 experienced significantly higher rates of in-hospital major adverse cardiovascular events (MACE) compared to those with a TyG index &lt; 8.47 (22.6% vs. 10.2%, P = 0.003). Similarly, the rate of composite MACE during follow-up was also higher in the elevated TyG group (14.9% vs. 7.5%, P = 0.04). Heart failure (HF) was significantly more common in patients with a higher TyG index, both during hospitalization (17.3% vs. 7.5%, P = 0.009) and at follow-up (7.1% vs. 1.4%, P = 0.013). </w:t>
      </w:r>
      <w:r w:rsidRPr="00C16930">
        <w:rPr>
          <w:b/>
          <w:bCs/>
        </w:rPr>
        <w:t>Table 3, Figure 2</w:t>
      </w:r>
    </w:p>
    <w:p w14:paraId="0C42F524" w14:textId="375C971A" w:rsidR="00AE0505" w:rsidRPr="00C70B7C" w:rsidRDefault="0086027F" w:rsidP="00D777D6">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ROC analysis for predicting in-hospital HF using TyG yielded an AUC of 0.694 (95% CI: 0.600–0.788,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A cutoff value &gt;9.07 provided 47.5% sensitivity, 84.73% specificity, 31.1% PPV, and 91.7% NPV.For predicting in-hospital composite MACE, the AUC was 0.699 (95% CI: 0.616–0.783,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with the optimal threshold &gt;8.98 yielding 49.06% sensitivity, 82.44% specificity, 36.1% PPV, and 88.9% NPV. </w:t>
      </w:r>
      <w:r w:rsidRPr="00C70B7C">
        <w:rPr>
          <w:rFonts w:asciiTheme="majorBidi" w:hAnsiTheme="majorBidi" w:cstheme="majorBidi"/>
          <w:b/>
          <w:bCs/>
          <w:sz w:val="24"/>
          <w:szCs w:val="24"/>
        </w:rPr>
        <w:t>(Table 4)</w:t>
      </w:r>
    </w:p>
    <w:p w14:paraId="7FC3131B"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lastRenderedPageBreak/>
        <w:t xml:space="preserve">Logistic regression confirmed TyG as an independent predictor of in-hospital composite MACE after adjustment for age, gender, BMI, smoking, HTN, DM, and other comorbidities (OR = 12.861, 95% CI: 4.03–41.043,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HTN was inversely associated with risk (OR = 0.437, 95% CI: 0.225–0.849,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0.015). </w:t>
      </w:r>
      <w:r w:rsidRPr="00C70B7C">
        <w:rPr>
          <w:rFonts w:asciiTheme="majorBidi" w:hAnsiTheme="majorBidi" w:cstheme="majorBidi"/>
          <w:b/>
          <w:bCs/>
          <w:sz w:val="24"/>
          <w:szCs w:val="24"/>
        </w:rPr>
        <w:t>(Table 5)</w:t>
      </w:r>
    </w:p>
    <w:p w14:paraId="79C0F960"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In a multivariate linear regression model for GLS, TyG remained a significant predictor. Each one-unit increase in TyG corresponded to a 7.16-unit decline in GLS (B = -7.161, 95% CI: -8.206 to -6.116,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Female gender (B = 1.515, 95% CI: 0.475–2.554,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0.004), HTN (B = 0.642, 95% CI: 0.012–1.271,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0.046), and DM (B = 1.11, 95% CI: 0.233–1.987,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0.013) were also independently associated with GLS. </w:t>
      </w:r>
      <w:r w:rsidRPr="00C70B7C">
        <w:rPr>
          <w:rFonts w:asciiTheme="majorBidi" w:hAnsiTheme="majorBidi" w:cstheme="majorBidi"/>
          <w:b/>
          <w:bCs/>
          <w:sz w:val="24"/>
          <w:szCs w:val="24"/>
        </w:rPr>
        <w:t>(Table 6)</w:t>
      </w:r>
    </w:p>
    <w:p w14:paraId="7B2BE0C4" w14:textId="77777777" w:rsidR="00AE0505" w:rsidRPr="00C70B7C" w:rsidRDefault="0086027F" w:rsidP="00C70B7C">
      <w:pPr>
        <w:spacing w:before="120" w:after="240" w:line="360" w:lineRule="auto"/>
        <w:jc w:val="both"/>
        <w:rPr>
          <w:rFonts w:asciiTheme="majorBidi" w:hAnsiTheme="majorBidi" w:cstheme="majorBidi"/>
          <w:b/>
          <w:bCs/>
          <w:sz w:val="24"/>
          <w:szCs w:val="24"/>
        </w:rPr>
      </w:pPr>
      <w:r w:rsidRPr="00C70B7C">
        <w:rPr>
          <w:rFonts w:asciiTheme="majorBidi" w:hAnsiTheme="majorBidi" w:cstheme="majorBidi"/>
          <w:b/>
          <w:bCs/>
          <w:sz w:val="24"/>
          <w:szCs w:val="24"/>
        </w:rPr>
        <w:t>Discussion:</w:t>
      </w:r>
    </w:p>
    <w:p w14:paraId="5D5ABA02"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In this investigation, age did not differ significantly between the TyG-defined groups (61 ± 11 years,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 = 0.571). These findings are comparable to those reported by [10], who observed no significant variation in age across TyG quartiles (53.4 ± 13.8 years,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 = 0.692). In contrast, [11] noted that cases with elevated cumulative TyG exposure tended to be older (49.42 ± 11.93 years, </w:t>
      </w:r>
      <w:r w:rsidRPr="00C70B7C">
        <w:rPr>
          <w:rFonts w:asciiTheme="majorBidi" w:hAnsiTheme="majorBidi" w:cstheme="majorBidi"/>
          <w:i/>
          <w:iCs/>
          <w:sz w:val="24"/>
          <w:szCs w:val="24"/>
        </w:rPr>
        <w:t>P&lt;</w:t>
      </w:r>
      <w:r w:rsidRPr="00C70B7C">
        <w:rPr>
          <w:rFonts w:asciiTheme="majorBidi" w:hAnsiTheme="majorBidi" w:cstheme="majorBidi"/>
          <w:sz w:val="24"/>
          <w:szCs w:val="24"/>
        </w:rPr>
        <w:t>0.01), indicating a possible age-related component to chronic metabolic stress.</w:t>
      </w:r>
    </w:p>
    <w:p w14:paraId="7C9ED3D6" w14:textId="1F17837C"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A significantly greater proportion of TyG ≥8.47 cases had DM (80.4%) compared to those with lower indices (15.6%,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This aligns with data from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12</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who also demonstrated increased DM prevalence among cases with TyG ≥9.5 (</w:t>
      </w:r>
      <w:r w:rsidRPr="00C70B7C">
        <w:rPr>
          <w:rFonts w:asciiTheme="majorBidi" w:hAnsiTheme="majorBidi" w:cstheme="majorBidi"/>
          <w:i/>
          <w:iCs/>
          <w:sz w:val="24"/>
          <w:szCs w:val="24"/>
        </w:rPr>
        <w:t>P&lt;</w:t>
      </w:r>
      <w:r w:rsidRPr="00C70B7C">
        <w:rPr>
          <w:rFonts w:asciiTheme="majorBidi" w:hAnsiTheme="majorBidi" w:cstheme="majorBidi"/>
          <w:sz w:val="24"/>
          <w:szCs w:val="24"/>
        </w:rPr>
        <w:t>0.001).</w:t>
      </w:r>
    </w:p>
    <w:p w14:paraId="7431B545" w14:textId="1F11E335"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LVEF was markedly reduced in TyG ≥8.47 cases (51 ± 11%) versus the lower group (57 ± 8%,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mirroring the results from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13</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who reported a negative association between TyG and systolic performance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However,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12</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observed a modest increase in LVEF with elevated TyG (coefficient = 0.457%,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 = 0.021), while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10</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found no significant difference across quartiles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 &gt; 0.05).</w:t>
      </w:r>
    </w:p>
    <w:p w14:paraId="32041413" w14:textId="4D2703FD"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EDV was significantly higher in TyG ≥8.47 cases (5.17 ± 0.82 vs. 4.9 ± 0.68,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 = 0.001), consistent with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12</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who found a positive association with LVEDV (coefficient = 0.134%,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In contrast,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14</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reported no significant difference in EDV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 = 0.308).</w:t>
      </w:r>
    </w:p>
    <w:p w14:paraId="6182E80E" w14:textId="59E9539E"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lastRenderedPageBreak/>
        <w:t xml:space="preserve">ESV was also greater among cases with elevated TyG (3.9 ± 0.83 vs. 3.57 ± 0.73,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although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15</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and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14</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found no significant differences across TyG strata.</w:t>
      </w:r>
    </w:p>
    <w:p w14:paraId="760D420A" w14:textId="60BB1DDE"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GLS was significantly impaired in the TyG ≥8.47 group (−14.6 ± 4.1 vs. −18.3 ± 2.4,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in agreement with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12</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who reported a strong inverse relationship (coefficient = 0.315%,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Similarly,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10</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showed GLS deterioration across TyG quartiles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 = 0.001), and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14</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also found worse GLS values in the higher TyG group (</w:t>
      </w:r>
      <w:r w:rsidRPr="00C70B7C">
        <w:rPr>
          <w:rFonts w:asciiTheme="majorBidi" w:hAnsiTheme="majorBidi" w:cstheme="majorBidi"/>
          <w:i/>
          <w:iCs/>
          <w:sz w:val="24"/>
          <w:szCs w:val="24"/>
        </w:rPr>
        <w:t>P&lt;</w:t>
      </w:r>
      <w:r w:rsidRPr="00C70B7C">
        <w:rPr>
          <w:rFonts w:asciiTheme="majorBidi" w:hAnsiTheme="majorBidi" w:cstheme="majorBidi"/>
          <w:sz w:val="24"/>
          <w:szCs w:val="24"/>
        </w:rPr>
        <w:t>0.05).</w:t>
      </w:r>
    </w:p>
    <w:p w14:paraId="75AB7B7B" w14:textId="6EF8C1B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 xml:space="preserve">Multivariate analysis confirmed TyG as an independent predictor of in-hospital MACE (OR = 12.861, 95% CI: 4.03–41.043, </w:t>
      </w:r>
      <w:r w:rsidRPr="00C70B7C">
        <w:rPr>
          <w:rFonts w:asciiTheme="majorBidi" w:hAnsiTheme="majorBidi" w:cstheme="majorBidi"/>
          <w:i/>
          <w:iCs/>
          <w:sz w:val="24"/>
          <w:szCs w:val="24"/>
        </w:rPr>
        <w:t>P&lt;</w:t>
      </w:r>
      <w:r w:rsidRPr="00C70B7C">
        <w:rPr>
          <w:rFonts w:asciiTheme="majorBidi" w:hAnsiTheme="majorBidi" w:cstheme="majorBidi"/>
          <w:sz w:val="24"/>
          <w:szCs w:val="24"/>
        </w:rPr>
        <w:t xml:space="preserve">0.001). HTN was also independently associated, but with a protective effect (OR = 0.437, 95% CI: 0.225–0.849, </w:t>
      </w:r>
      <w:r w:rsidRPr="00C70B7C">
        <w:rPr>
          <w:rFonts w:asciiTheme="majorBidi" w:hAnsiTheme="majorBidi" w:cstheme="majorBidi"/>
          <w:i/>
          <w:iCs/>
          <w:sz w:val="24"/>
          <w:szCs w:val="24"/>
        </w:rPr>
        <w:t>P</w:t>
      </w:r>
      <w:r w:rsidRPr="00C70B7C">
        <w:rPr>
          <w:rFonts w:asciiTheme="majorBidi" w:hAnsiTheme="majorBidi" w:cstheme="majorBidi"/>
          <w:sz w:val="24"/>
          <w:szCs w:val="24"/>
        </w:rPr>
        <w:t xml:space="preserve"> = 0.015). These findings align with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16</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who reported elevated TyG linked to increased CV and all-cause mortality (RR = 2.71 and 2.35, respectively). Similarly,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17</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found higher TyG associated with mortality risk in HF and T2DM cases (RR = 4.42, 95% CI: 1.49–13.15). Supporting these results,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18</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reported IR (via HOMA-IR) as predictive of CAD-related mortality (HR = 1.69, 95% CI: 1.15–2.48). In contrast, </w:t>
      </w:r>
      <w:r w:rsidR="00593BD0" w:rsidRPr="00593BD0">
        <w:rPr>
          <w:rFonts w:asciiTheme="majorBidi" w:hAnsiTheme="majorBidi" w:cstheme="majorBidi"/>
          <w:sz w:val="24"/>
          <w:szCs w:val="24"/>
          <w:vertAlign w:val="superscript"/>
        </w:rPr>
        <w:t>(</w:t>
      </w:r>
      <w:r w:rsidRPr="00593BD0">
        <w:rPr>
          <w:rFonts w:asciiTheme="majorBidi" w:hAnsiTheme="majorBidi" w:cstheme="majorBidi"/>
          <w:sz w:val="24"/>
          <w:szCs w:val="24"/>
          <w:vertAlign w:val="superscript"/>
        </w:rPr>
        <w:t>14</w:t>
      </w:r>
      <w:r w:rsidR="00593BD0" w:rsidRPr="00593BD0">
        <w:rPr>
          <w:rFonts w:asciiTheme="majorBidi" w:hAnsiTheme="majorBidi" w:cstheme="majorBidi"/>
          <w:sz w:val="24"/>
          <w:szCs w:val="24"/>
          <w:vertAlign w:val="superscript"/>
        </w:rPr>
        <w:t>)</w:t>
      </w:r>
      <w:r w:rsidRPr="00C70B7C">
        <w:rPr>
          <w:rFonts w:asciiTheme="majorBidi" w:hAnsiTheme="majorBidi" w:cstheme="majorBidi"/>
          <w:sz w:val="24"/>
          <w:szCs w:val="24"/>
        </w:rPr>
        <w:t xml:space="preserve"> observed no significant association between TyG and CV mortality (HR = 1.10, 95% CI: 0.82–1.47), highlighting notable heterogeneity across investigations (I² = 76%).</w:t>
      </w:r>
    </w:p>
    <w:p w14:paraId="4EAD15A5" w14:textId="77777777" w:rsidR="00AE0505" w:rsidRPr="00C70B7C" w:rsidRDefault="0086027F" w:rsidP="00C70B7C">
      <w:pPr>
        <w:spacing w:before="120" w:after="240" w:line="360" w:lineRule="auto"/>
        <w:jc w:val="both"/>
        <w:rPr>
          <w:rFonts w:asciiTheme="majorBidi" w:hAnsiTheme="majorBidi" w:cstheme="majorBidi"/>
          <w:sz w:val="24"/>
          <w:szCs w:val="24"/>
        </w:rPr>
      </w:pPr>
      <w:r w:rsidRPr="00C70B7C">
        <w:rPr>
          <w:rFonts w:asciiTheme="majorBidi" w:hAnsiTheme="majorBidi" w:cstheme="majorBidi"/>
          <w:sz w:val="24"/>
          <w:szCs w:val="24"/>
        </w:rPr>
        <w:t>Several limitations should be acknowledged. The limited sample size may have reduced power to detect differences in subgroups. Lack of long-term follow-up restricted assessment of TyG impact on GLS and outcomes. Lastly, although echocardiographic evaluation was appropriately conducted, the use of additional imaging such as MRI could have enhanced the investigation.</w:t>
      </w:r>
    </w:p>
    <w:p w14:paraId="61242D70" w14:textId="77777777" w:rsidR="00AE0505" w:rsidRPr="00C70B7C" w:rsidRDefault="0086027F" w:rsidP="00C70B7C">
      <w:pPr>
        <w:spacing w:before="120" w:after="240" w:line="360" w:lineRule="auto"/>
        <w:jc w:val="both"/>
        <w:rPr>
          <w:rFonts w:asciiTheme="majorBidi" w:hAnsiTheme="majorBidi" w:cstheme="majorBidi"/>
          <w:b/>
          <w:bCs/>
          <w:sz w:val="24"/>
          <w:szCs w:val="24"/>
        </w:rPr>
      </w:pPr>
      <w:r w:rsidRPr="00C70B7C">
        <w:rPr>
          <w:rFonts w:asciiTheme="majorBidi" w:hAnsiTheme="majorBidi" w:cstheme="majorBidi"/>
          <w:b/>
          <w:bCs/>
          <w:sz w:val="24"/>
          <w:szCs w:val="24"/>
        </w:rPr>
        <w:t>Conclusion:</w:t>
      </w:r>
    </w:p>
    <w:p w14:paraId="43EFFB01" w14:textId="77777777" w:rsidR="00AE0505" w:rsidRPr="00C70B7C" w:rsidRDefault="0086027F" w:rsidP="00C70B7C">
      <w:pPr>
        <w:pStyle w:val="P"/>
        <w:spacing w:before="120" w:after="240" w:line="360" w:lineRule="auto"/>
        <w:jc w:val="both"/>
        <w:rPr>
          <w:rFonts w:asciiTheme="majorBidi" w:hAnsiTheme="majorBidi" w:cstheme="majorBidi"/>
          <w:lang w:val="en-GB"/>
        </w:rPr>
      </w:pPr>
      <w:r w:rsidRPr="00C70B7C">
        <w:rPr>
          <w:rFonts w:asciiTheme="majorBidi" w:hAnsiTheme="majorBidi" w:cstheme="majorBidi"/>
        </w:rPr>
        <w:t>The present findings suggest that elevated TyG index levels in cases with NSTE-ACS are associated with significantly impaired LV function as assessed via speckle-tracking echocardiography. TyG demonstrated independent predictive value for reduced GLS and increased incidence of in-hospital MACE. These results underscore the clinical utility of TyG as a prognostic biomarker, highlighting its potential role in guiding early intervention strategies and risk stratification in this vulnerable population.</w:t>
      </w:r>
    </w:p>
    <w:p w14:paraId="415462AD" w14:textId="77777777" w:rsidR="001058C8" w:rsidRDefault="001058C8" w:rsidP="00C70B7C">
      <w:pPr>
        <w:spacing w:before="120" w:after="240" w:line="360" w:lineRule="auto"/>
        <w:jc w:val="both"/>
        <w:rPr>
          <w:rFonts w:asciiTheme="majorBidi" w:hAnsiTheme="majorBidi" w:cstheme="majorBidi"/>
          <w:b/>
          <w:bCs/>
          <w:sz w:val="24"/>
          <w:szCs w:val="24"/>
          <w:lang w:val="it-IT"/>
        </w:rPr>
      </w:pPr>
    </w:p>
    <w:p w14:paraId="24D2A7BB" w14:textId="2B7BA421" w:rsidR="00C70B7C" w:rsidRPr="00D3690C" w:rsidRDefault="00B8477A" w:rsidP="00C70B7C">
      <w:pPr>
        <w:spacing w:before="120" w:after="240" w:line="360" w:lineRule="auto"/>
        <w:jc w:val="both"/>
        <w:rPr>
          <w:rFonts w:asciiTheme="majorBidi" w:hAnsiTheme="majorBidi" w:cstheme="majorBidi"/>
          <w:b/>
          <w:bCs/>
          <w:sz w:val="24"/>
          <w:szCs w:val="24"/>
          <w:lang w:val="it-IT"/>
        </w:rPr>
      </w:pPr>
      <w:r w:rsidRPr="00C70B7C">
        <w:rPr>
          <w:rFonts w:asciiTheme="majorBidi" w:hAnsiTheme="majorBidi" w:cstheme="majorBidi"/>
          <w:b/>
          <w:bCs/>
          <w:sz w:val="24"/>
          <w:szCs w:val="24"/>
          <w:lang w:val="it-IT"/>
        </w:rPr>
        <w:lastRenderedPageBreak/>
        <w:t>References:</w:t>
      </w:r>
    </w:p>
    <w:p w14:paraId="40798275" w14:textId="77777777" w:rsidR="00C70B7C" w:rsidRPr="00D3690C" w:rsidRDefault="00C70B7C" w:rsidP="00C70B7C">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Murphy SP, Ibrahim NE, Januzzi JL. Heart failure with reduced ejection fraction: a review. Jama. 2020 Aug 4;324(5):488-504.</w:t>
      </w:r>
    </w:p>
    <w:p w14:paraId="108E8DF6" w14:textId="77777777" w:rsidR="00C70B7C" w:rsidRPr="00D3690C" w:rsidRDefault="00C70B7C" w:rsidP="00C70B7C">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Shao C, Wang J, Tian J, Tang YD. Coronary artery disease: from mechanism to clinical practice. Coronary Artery Disease: Therapeutics and Drug Discovery. 2020:1-36.</w:t>
      </w:r>
    </w:p>
    <w:p w14:paraId="47E8C679" w14:textId="77777777" w:rsidR="00C70B7C" w:rsidRPr="00D3690C" w:rsidRDefault="00C70B7C" w:rsidP="00C70B7C">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Shahjehan RD, Sharma S, Bhutta BS. Coronary artery disease. InStatPearls [Internet] 2024 Oct 9. StatPearls Publishing.</w:t>
      </w:r>
    </w:p>
    <w:p w14:paraId="4812DAF6" w14:textId="5B9D7621" w:rsidR="00C70B7C" w:rsidRPr="00D3690C" w:rsidRDefault="00C70B7C" w:rsidP="009637B7">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Liang S, Wang C, Zhang J, Liu Z, Bai Y, Chen Z,</w:t>
      </w:r>
      <w:r w:rsidR="009637B7">
        <w:rPr>
          <w:rFonts w:asciiTheme="majorBidi" w:hAnsiTheme="majorBidi" w:cstheme="majorBidi"/>
          <w:sz w:val="24"/>
          <w:szCs w:val="24"/>
        </w:rPr>
        <w:t xml:space="preserve"> et al</w:t>
      </w:r>
      <w:r w:rsidRPr="00D3690C">
        <w:rPr>
          <w:rFonts w:asciiTheme="majorBidi" w:hAnsiTheme="majorBidi" w:cstheme="majorBidi"/>
          <w:sz w:val="24"/>
          <w:szCs w:val="24"/>
        </w:rPr>
        <w:t>. Triglyceride-glucose index and coronary artery disease: a systematic review and meta-analysis of risk, severity, and prognosis. Cardiovascular diabetology. 2023 Jul 6;22(1):170.</w:t>
      </w:r>
    </w:p>
    <w:p w14:paraId="1666E264" w14:textId="77777777" w:rsidR="00C70B7C" w:rsidRPr="00D3690C" w:rsidRDefault="00C70B7C" w:rsidP="00C70B7C">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Dohi K. Echocardiographic assessment of cardiac structure and function in chronic renal disease. Journal of echocardiography. 2019 Sep 13;17(3):115-22.</w:t>
      </w:r>
    </w:p>
    <w:p w14:paraId="0407D3B3" w14:textId="0B3ADCA6" w:rsidR="00C70B7C" w:rsidRPr="00D3690C" w:rsidRDefault="00C70B7C" w:rsidP="009637B7">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 xml:space="preserve">Singh RB, Sozzi FB, Fedacko J, Hristova K, Fatima G, Pella D, </w:t>
      </w:r>
      <w:r w:rsidR="009637B7">
        <w:rPr>
          <w:rFonts w:asciiTheme="majorBidi" w:hAnsiTheme="majorBidi" w:cstheme="majorBidi"/>
          <w:sz w:val="24"/>
          <w:szCs w:val="24"/>
        </w:rPr>
        <w:t xml:space="preserve"> et al</w:t>
      </w:r>
      <w:r w:rsidRPr="00D3690C">
        <w:rPr>
          <w:rFonts w:asciiTheme="majorBidi" w:hAnsiTheme="majorBidi" w:cstheme="majorBidi"/>
          <w:sz w:val="24"/>
          <w:szCs w:val="24"/>
        </w:rPr>
        <w:t>. Pre‐heart failure at 2D‐and 3D‐speckle tracking echocardiography: A comprehensive review. Echocardiography. 2022 Feb;39(2):302-9.</w:t>
      </w:r>
    </w:p>
    <w:p w14:paraId="3B512470" w14:textId="77777777" w:rsidR="00C70B7C" w:rsidRPr="00D3690C" w:rsidRDefault="00C70B7C" w:rsidP="00C70B7C">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Tao LC, Xu JN, Wang TT, Hua F, Li JJ. Triglyceride-glucose index as a marker in cardiovascular diseases: landscape and limitations. Cardiovascular diabetology. 2022 May 6;21(1):68.</w:t>
      </w:r>
    </w:p>
    <w:p w14:paraId="32EFAF2F" w14:textId="74C4E980" w:rsidR="00C70B7C" w:rsidRPr="00D3690C" w:rsidRDefault="00C70B7C" w:rsidP="009637B7">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 xml:space="preserve">Huang R, Wang Z, Chen J, Bao X, Xu N, Guo S, </w:t>
      </w:r>
      <w:r w:rsidR="009637B7">
        <w:rPr>
          <w:rFonts w:asciiTheme="majorBidi" w:hAnsiTheme="majorBidi" w:cstheme="majorBidi"/>
          <w:sz w:val="24"/>
          <w:szCs w:val="24"/>
        </w:rPr>
        <w:t xml:space="preserve">et al </w:t>
      </w:r>
      <w:r w:rsidRPr="00D3690C">
        <w:rPr>
          <w:rFonts w:asciiTheme="majorBidi" w:hAnsiTheme="majorBidi" w:cstheme="majorBidi"/>
          <w:sz w:val="24"/>
          <w:szCs w:val="24"/>
        </w:rPr>
        <w:t>. Prognostic value of triglyceride glucose (TyG) index in patients with acute decompensated heart failure. Cardiovascular Diabetology. 2022 May 31;21(1):88.</w:t>
      </w:r>
    </w:p>
    <w:p w14:paraId="30207764" w14:textId="77777777" w:rsidR="00C70B7C" w:rsidRPr="00D3690C" w:rsidRDefault="00C70B7C" w:rsidP="00C70B7C">
      <w:pPr>
        <w:pStyle w:val="a6"/>
        <w:numPr>
          <w:ilvl w:val="3"/>
          <w:numId w:val="12"/>
        </w:numPr>
        <w:spacing w:line="360" w:lineRule="auto"/>
        <w:ind w:left="360"/>
        <w:rPr>
          <w:rFonts w:asciiTheme="majorBidi" w:hAnsiTheme="majorBidi" w:cstheme="majorBidi"/>
          <w:bCs/>
          <w:sz w:val="24"/>
          <w:szCs w:val="24"/>
        </w:rPr>
      </w:pPr>
      <w:r w:rsidRPr="00D3690C">
        <w:rPr>
          <w:rFonts w:asciiTheme="majorBidi" w:hAnsiTheme="majorBidi" w:cstheme="majorBidi"/>
          <w:bCs/>
          <w:sz w:val="24"/>
          <w:szCs w:val="24"/>
        </w:rPr>
        <w:t>Elhusseiny S. Assessment of Left Ventricle Diastolic Dysfunction in Chronic Kidney Disease Patients. Benha Medical Journal. 2021 Jul 1;38(2):474-87.</w:t>
      </w:r>
    </w:p>
    <w:p w14:paraId="6890FE95" w14:textId="71DC2E5F" w:rsidR="00C70B7C" w:rsidRPr="00D3690C" w:rsidRDefault="00C70B7C" w:rsidP="009637B7">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 xml:space="preserve">Chen Y, Fu J, Wang Y, Zhang Y, Shi M, Wang C, </w:t>
      </w:r>
      <w:r w:rsidR="009637B7">
        <w:rPr>
          <w:rFonts w:asciiTheme="majorBidi" w:hAnsiTheme="majorBidi" w:cstheme="majorBidi"/>
          <w:sz w:val="24"/>
          <w:szCs w:val="24"/>
        </w:rPr>
        <w:t xml:space="preserve">et al </w:t>
      </w:r>
      <w:r w:rsidRPr="00D3690C">
        <w:rPr>
          <w:rFonts w:asciiTheme="majorBidi" w:hAnsiTheme="majorBidi" w:cstheme="majorBidi"/>
          <w:sz w:val="24"/>
          <w:szCs w:val="24"/>
        </w:rPr>
        <w:t>. Association between triglyceride glucose index and subclinical left ventricular systolic dysfunction in patients with type 2 diabetes. Lipids in health and disease. 2023 Mar 8;22(1):35.</w:t>
      </w:r>
    </w:p>
    <w:p w14:paraId="1D83905E" w14:textId="351FAF45" w:rsidR="00C70B7C" w:rsidRPr="00D3690C" w:rsidRDefault="00C70B7C" w:rsidP="009637B7">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 xml:space="preserve">Zheng H, Chen G, Wu K, Wu W, Huang Z, Wang X, </w:t>
      </w:r>
      <w:r w:rsidR="009637B7">
        <w:rPr>
          <w:rFonts w:asciiTheme="majorBidi" w:hAnsiTheme="majorBidi" w:cstheme="majorBidi"/>
          <w:sz w:val="24"/>
          <w:szCs w:val="24"/>
        </w:rPr>
        <w:t>et al</w:t>
      </w:r>
      <w:r w:rsidRPr="00D3690C">
        <w:rPr>
          <w:rFonts w:asciiTheme="majorBidi" w:hAnsiTheme="majorBidi" w:cstheme="majorBidi"/>
          <w:sz w:val="24"/>
          <w:szCs w:val="24"/>
        </w:rPr>
        <w:t>. Relationship between cumulative exposure to triglyceride-glucose index and heart failure: a prospective cohort study. Cardiovascular Diabetology. 2023 Sep 4;22(1):239.</w:t>
      </w:r>
    </w:p>
    <w:p w14:paraId="5B4631C0" w14:textId="0A098DAA" w:rsidR="00C70B7C" w:rsidRPr="00D3690C" w:rsidRDefault="00C70B7C" w:rsidP="009637B7">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lastRenderedPageBreak/>
        <w:t xml:space="preserve">Huang R, Lin Y, Ye X, Zhong X, Xie P, Li M, </w:t>
      </w:r>
      <w:r w:rsidR="009637B7">
        <w:rPr>
          <w:rFonts w:asciiTheme="majorBidi" w:hAnsiTheme="majorBidi" w:cstheme="majorBidi"/>
          <w:sz w:val="24"/>
          <w:szCs w:val="24"/>
        </w:rPr>
        <w:t xml:space="preserve">et al </w:t>
      </w:r>
      <w:r w:rsidRPr="00D3690C">
        <w:rPr>
          <w:rFonts w:asciiTheme="majorBidi" w:hAnsiTheme="majorBidi" w:cstheme="majorBidi"/>
          <w:sz w:val="24"/>
          <w:szCs w:val="24"/>
        </w:rPr>
        <w:t>. Triglyceride–glucose index in the development of heart failure and left ventricular dysfunction: analysis of the ARIC study. European journal of preventive cardiology. 2022 Aug 17;29(11):1531-41.</w:t>
      </w:r>
    </w:p>
    <w:p w14:paraId="2EEF7728" w14:textId="77777777" w:rsidR="00C70B7C" w:rsidRPr="00D3690C" w:rsidRDefault="00C70B7C" w:rsidP="00C70B7C">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Chiu TH, Tsai HJ, Chiou HY, Wu PY, Huang JC, Chen SC. A high triglyceride-glucose index is associated with left ventricular dysfunction and atherosclerosis. International Journal of Medical Sciences. 2021 Jan 1;18(4):1051.</w:t>
      </w:r>
    </w:p>
    <w:p w14:paraId="33BAFC4B" w14:textId="77777777" w:rsidR="00C70B7C" w:rsidRPr="00D3690C" w:rsidRDefault="00C70B7C" w:rsidP="00C70B7C">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Na L, Cui W, Li X, Chang J, Xue X. Association between the triglyceride–glucose index and left ventricular global longitudinal strain in patients with coronary heart disease in Jilin Province, China: a cross-sectional study. Cardiovascular Diabetology. 2023 Nov 22;22(1):321.</w:t>
      </w:r>
    </w:p>
    <w:p w14:paraId="276D9D05" w14:textId="5475DF24" w:rsidR="00C70B7C" w:rsidRPr="00D3690C" w:rsidRDefault="00C70B7C" w:rsidP="009637B7">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 xml:space="preserve">Zhang S, Liu Y, Liu F, Ye Q, Guo D, Xu P, </w:t>
      </w:r>
      <w:r w:rsidR="009637B7">
        <w:rPr>
          <w:rFonts w:asciiTheme="majorBidi" w:hAnsiTheme="majorBidi" w:cstheme="majorBidi"/>
          <w:sz w:val="24"/>
          <w:szCs w:val="24"/>
        </w:rPr>
        <w:t>et al</w:t>
      </w:r>
      <w:r w:rsidRPr="00D3690C">
        <w:rPr>
          <w:rFonts w:asciiTheme="majorBidi" w:hAnsiTheme="majorBidi" w:cstheme="majorBidi"/>
          <w:sz w:val="24"/>
          <w:szCs w:val="24"/>
        </w:rPr>
        <w:t>. Correlation between the triglyceride-glucose index and left ventricular global longitudinal strain in patients with chronic heart failure: a cross-sectional study. Cardiovascular Diabetology. 2024 May 29;23(1):182.</w:t>
      </w:r>
    </w:p>
    <w:p w14:paraId="332D7F24" w14:textId="5C95761E" w:rsidR="00C70B7C" w:rsidRPr="00D3690C" w:rsidRDefault="00C70B7C" w:rsidP="009637B7">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 xml:space="preserve">Zhang Y, Ding X, Hua B, Liu Q, Gao H, Chen H, </w:t>
      </w:r>
      <w:r w:rsidR="009637B7">
        <w:rPr>
          <w:rFonts w:asciiTheme="majorBidi" w:hAnsiTheme="majorBidi" w:cstheme="majorBidi"/>
          <w:sz w:val="24"/>
          <w:szCs w:val="24"/>
        </w:rPr>
        <w:t>et al</w:t>
      </w:r>
      <w:r w:rsidRPr="00D3690C">
        <w:rPr>
          <w:rFonts w:asciiTheme="majorBidi" w:hAnsiTheme="majorBidi" w:cstheme="majorBidi"/>
          <w:sz w:val="24"/>
          <w:szCs w:val="24"/>
        </w:rPr>
        <w:t>. High triglyceride-glucose index is associated with poor cardiovascular outcomes in nondiabetic patients with ACS with LDL-C below 1.8 mmol/L. Journal of Atherosclerosis and Thrombosis. 2022 Feb 1;29(2):268-81.</w:t>
      </w:r>
    </w:p>
    <w:p w14:paraId="73735600" w14:textId="0FE506E8" w:rsidR="00C70B7C" w:rsidRPr="00D3690C" w:rsidRDefault="00C70B7C" w:rsidP="009637B7">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 xml:space="preserve">Guo W, Zhao L, Mo F, Peng C, Li L, Xu Y, </w:t>
      </w:r>
      <w:r w:rsidR="009637B7">
        <w:rPr>
          <w:rFonts w:asciiTheme="majorBidi" w:hAnsiTheme="majorBidi" w:cstheme="majorBidi"/>
          <w:sz w:val="24"/>
          <w:szCs w:val="24"/>
        </w:rPr>
        <w:t>et al</w:t>
      </w:r>
      <w:r w:rsidRPr="00D3690C">
        <w:rPr>
          <w:rFonts w:asciiTheme="majorBidi" w:hAnsiTheme="majorBidi" w:cstheme="majorBidi"/>
          <w:sz w:val="24"/>
          <w:szCs w:val="24"/>
        </w:rPr>
        <w:t>. The prognostic value of the triglyceride glucose index in patients with chronic heart failure and type 2 diabetes: a retrospective cohort study. Diabetes Research and Clinical Practice. 2021 Jul 1;177:108786.</w:t>
      </w:r>
    </w:p>
    <w:p w14:paraId="2AB73A9B" w14:textId="5C311045" w:rsidR="00C70B7C" w:rsidRPr="00D3690C" w:rsidRDefault="00C70B7C" w:rsidP="009637B7">
      <w:pPr>
        <w:pStyle w:val="a6"/>
        <w:numPr>
          <w:ilvl w:val="3"/>
          <w:numId w:val="12"/>
        </w:numPr>
        <w:spacing w:line="360" w:lineRule="auto"/>
        <w:ind w:left="360"/>
        <w:rPr>
          <w:rFonts w:asciiTheme="majorBidi" w:hAnsiTheme="majorBidi" w:cstheme="majorBidi"/>
          <w:sz w:val="24"/>
          <w:szCs w:val="24"/>
        </w:rPr>
      </w:pPr>
      <w:r w:rsidRPr="00D3690C">
        <w:rPr>
          <w:rFonts w:asciiTheme="majorBidi" w:hAnsiTheme="majorBidi" w:cstheme="majorBidi"/>
          <w:sz w:val="24"/>
          <w:szCs w:val="24"/>
        </w:rPr>
        <w:t xml:space="preserve">Kurl S, Zaccardi F, Onaemo VN, Jae SY, Kauhanen J, Ronkainen K, </w:t>
      </w:r>
      <w:r w:rsidR="009637B7">
        <w:rPr>
          <w:rFonts w:asciiTheme="majorBidi" w:hAnsiTheme="majorBidi" w:cstheme="majorBidi"/>
          <w:sz w:val="24"/>
          <w:szCs w:val="24"/>
        </w:rPr>
        <w:t>et al</w:t>
      </w:r>
      <w:r w:rsidRPr="00D3690C">
        <w:rPr>
          <w:rFonts w:asciiTheme="majorBidi" w:hAnsiTheme="majorBidi" w:cstheme="majorBidi"/>
          <w:sz w:val="24"/>
          <w:szCs w:val="24"/>
        </w:rPr>
        <w:t>. Association between HOMA-IR, fasting insulin and fasting glucose with coronary heart disease mortality in nondiabetic men: a 20-year observational study. Acta diabetologica. 2015 Feb;52:183-6.</w:t>
      </w:r>
    </w:p>
    <w:p w14:paraId="525028D8" w14:textId="77777777" w:rsidR="00C70B7C" w:rsidRPr="00C16930" w:rsidRDefault="00C70B7C" w:rsidP="00C70B7C">
      <w:pPr>
        <w:pStyle w:val="a6"/>
        <w:spacing w:before="120" w:after="240" w:line="360" w:lineRule="auto"/>
        <w:ind w:left="360"/>
        <w:jc w:val="both"/>
        <w:rPr>
          <w:rFonts w:asciiTheme="majorBidi" w:hAnsiTheme="majorBidi" w:cstheme="majorBidi"/>
          <w:sz w:val="24"/>
          <w:szCs w:val="24"/>
        </w:rPr>
      </w:pPr>
    </w:p>
    <w:p w14:paraId="2E320759" w14:textId="7381F7F7" w:rsidR="00F162AA" w:rsidRPr="00C70B7C" w:rsidRDefault="00F162AA" w:rsidP="00C70B7C">
      <w:pPr>
        <w:pStyle w:val="a6"/>
        <w:spacing w:before="120" w:after="240" w:line="360" w:lineRule="auto"/>
        <w:ind w:left="0"/>
        <w:contextualSpacing w:val="0"/>
        <w:jc w:val="both"/>
        <w:rPr>
          <w:rFonts w:asciiTheme="majorBidi" w:hAnsiTheme="majorBidi" w:cstheme="majorBidi"/>
          <w:sz w:val="24"/>
          <w:szCs w:val="24"/>
        </w:rPr>
      </w:pPr>
    </w:p>
    <w:p w14:paraId="7202B411" w14:textId="77777777" w:rsidR="009637B7" w:rsidRDefault="009637B7">
      <w:pPr>
        <w:spacing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5FAEB644" w14:textId="614A1489" w:rsidR="00AE0505" w:rsidRPr="00F870E6" w:rsidRDefault="00F870E6" w:rsidP="00F870E6">
      <w:pPr>
        <w:pStyle w:val="a6"/>
        <w:spacing w:before="120" w:after="240" w:line="360" w:lineRule="auto"/>
        <w:ind w:left="0"/>
        <w:contextualSpacing w:val="0"/>
        <w:jc w:val="both"/>
        <w:rPr>
          <w:rFonts w:asciiTheme="majorBidi" w:hAnsiTheme="majorBidi" w:cstheme="majorBidi"/>
          <w:b/>
          <w:bCs/>
        </w:rPr>
      </w:pPr>
      <w:r w:rsidRPr="00F870E6">
        <w:rPr>
          <w:rFonts w:asciiTheme="majorBidi" w:hAnsiTheme="majorBidi" w:cstheme="majorBidi"/>
          <w:b/>
          <w:bCs/>
          <w:sz w:val="24"/>
          <w:szCs w:val="24"/>
        </w:rPr>
        <w:lastRenderedPageBreak/>
        <w:t xml:space="preserve"> </w:t>
      </w:r>
      <w:r w:rsidR="0086027F" w:rsidRPr="00F870E6">
        <w:rPr>
          <w:rFonts w:asciiTheme="majorBidi" w:hAnsiTheme="majorBidi" w:cstheme="majorBidi"/>
          <w:b/>
          <w:bCs/>
        </w:rPr>
        <w:t>Table 1: General characteristics according to TyG index.</w:t>
      </w:r>
    </w:p>
    <w:tbl>
      <w:tblPr>
        <w:tblW w:w="3553" w:type="pct"/>
        <w:jc w:val="center"/>
        <w:tblBorders>
          <w:top w:val="single" w:sz="4" w:space="0" w:color="auto"/>
          <w:bottom w:val="single" w:sz="4" w:space="0" w:color="auto"/>
        </w:tblBorders>
        <w:tblLook w:val="04A0" w:firstRow="1" w:lastRow="0" w:firstColumn="1" w:lastColumn="0" w:noHBand="0" w:noVBand="1"/>
      </w:tblPr>
      <w:tblGrid>
        <w:gridCol w:w="2723"/>
        <w:gridCol w:w="1733"/>
        <w:gridCol w:w="1678"/>
        <w:gridCol w:w="1013"/>
      </w:tblGrid>
      <w:tr w:rsidR="00AE0505" w:rsidRPr="00C70B7C" w14:paraId="2EB9956A" w14:textId="77777777" w:rsidTr="00F27BF6">
        <w:trPr>
          <w:trHeight w:val="315"/>
          <w:jc w:val="center"/>
        </w:trPr>
        <w:tc>
          <w:tcPr>
            <w:tcW w:w="2066" w:type="pct"/>
            <w:tcBorders>
              <w:top w:val="single" w:sz="4" w:space="0" w:color="auto"/>
              <w:bottom w:val="single" w:sz="4" w:space="0" w:color="auto"/>
            </w:tcBorders>
            <w:noWrap/>
            <w:vAlign w:val="bottom"/>
          </w:tcPr>
          <w:p w14:paraId="4C932B2A"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2747" w:type="pct"/>
            <w:gridSpan w:val="2"/>
            <w:tcBorders>
              <w:top w:val="single" w:sz="4" w:space="0" w:color="auto"/>
              <w:bottom w:val="single" w:sz="4" w:space="0" w:color="auto"/>
            </w:tcBorders>
            <w:noWrap/>
            <w:vAlign w:val="bottom"/>
          </w:tcPr>
          <w:p w14:paraId="44EBC9A4" w14:textId="77777777" w:rsidR="00AE0505" w:rsidRPr="00C70B7C" w:rsidRDefault="0086027F" w:rsidP="00C70B7C">
            <w:pPr>
              <w:spacing w:after="0" w:line="240" w:lineRule="auto"/>
              <w:jc w:val="center"/>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TyG Index</w:t>
            </w:r>
          </w:p>
        </w:tc>
        <w:tc>
          <w:tcPr>
            <w:tcW w:w="187" w:type="pct"/>
            <w:vMerge w:val="restart"/>
            <w:tcBorders>
              <w:top w:val="single" w:sz="4" w:space="0" w:color="auto"/>
              <w:bottom w:val="single" w:sz="4" w:space="0" w:color="auto"/>
            </w:tcBorders>
            <w:noWrap/>
            <w:vAlign w:val="center"/>
          </w:tcPr>
          <w:p w14:paraId="24A37B30" w14:textId="77777777" w:rsidR="00AE0505" w:rsidRPr="00C70B7C" w:rsidRDefault="0086027F" w:rsidP="00BC40D3">
            <w:pPr>
              <w:spacing w:after="0" w:line="240" w:lineRule="auto"/>
              <w:jc w:val="center"/>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w:t>
            </w:r>
          </w:p>
        </w:tc>
      </w:tr>
      <w:tr w:rsidR="00AE0505" w:rsidRPr="00C70B7C" w14:paraId="02D2F6C5" w14:textId="77777777" w:rsidTr="00F27BF6">
        <w:trPr>
          <w:trHeight w:val="315"/>
          <w:jc w:val="center"/>
        </w:trPr>
        <w:tc>
          <w:tcPr>
            <w:tcW w:w="2066" w:type="pct"/>
            <w:tcBorders>
              <w:top w:val="single" w:sz="4" w:space="0" w:color="auto"/>
              <w:bottom w:val="single" w:sz="4" w:space="0" w:color="auto"/>
            </w:tcBorders>
            <w:noWrap/>
            <w:vAlign w:val="bottom"/>
            <w:hideMark/>
          </w:tcPr>
          <w:p w14:paraId="20A5C718"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1375" w:type="pct"/>
            <w:tcBorders>
              <w:top w:val="single" w:sz="4" w:space="0" w:color="auto"/>
              <w:bottom w:val="single" w:sz="4" w:space="0" w:color="auto"/>
            </w:tcBorders>
            <w:noWrap/>
            <w:vAlign w:val="bottom"/>
            <w:hideMark/>
          </w:tcPr>
          <w:p w14:paraId="12D3B76B"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 8.47 (n=147)</w:t>
            </w:r>
          </w:p>
        </w:tc>
        <w:tc>
          <w:tcPr>
            <w:tcW w:w="1372" w:type="pct"/>
            <w:tcBorders>
              <w:top w:val="single" w:sz="4" w:space="0" w:color="auto"/>
              <w:bottom w:val="single" w:sz="4" w:space="0" w:color="auto"/>
            </w:tcBorders>
            <w:noWrap/>
            <w:vAlign w:val="bottom"/>
            <w:hideMark/>
          </w:tcPr>
          <w:p w14:paraId="5F303339"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 8.47 (n=168)</w:t>
            </w:r>
          </w:p>
        </w:tc>
        <w:tc>
          <w:tcPr>
            <w:tcW w:w="187" w:type="pct"/>
            <w:vMerge/>
            <w:tcBorders>
              <w:top w:val="nil"/>
              <w:bottom w:val="single" w:sz="4" w:space="0" w:color="auto"/>
            </w:tcBorders>
            <w:noWrap/>
            <w:vAlign w:val="center"/>
            <w:hideMark/>
          </w:tcPr>
          <w:p w14:paraId="572A0A1E" w14:textId="77777777" w:rsidR="00AE0505" w:rsidRPr="00C70B7C" w:rsidRDefault="00AE0505" w:rsidP="00C70B7C">
            <w:pPr>
              <w:spacing w:after="0" w:line="240" w:lineRule="auto"/>
              <w:jc w:val="both"/>
              <w:rPr>
                <w:rFonts w:asciiTheme="majorBidi" w:eastAsia="Times New Roman" w:hAnsiTheme="majorBidi" w:cstheme="majorBidi"/>
                <w:b/>
                <w:bCs/>
                <w:sz w:val="24"/>
                <w:szCs w:val="24"/>
              </w:rPr>
            </w:pPr>
          </w:p>
        </w:tc>
      </w:tr>
      <w:tr w:rsidR="00AE0505" w:rsidRPr="00C70B7C" w14:paraId="03D26E44" w14:textId="77777777" w:rsidTr="00F27BF6">
        <w:trPr>
          <w:trHeight w:val="315"/>
          <w:jc w:val="center"/>
        </w:trPr>
        <w:tc>
          <w:tcPr>
            <w:tcW w:w="2066" w:type="pct"/>
            <w:tcBorders>
              <w:top w:val="single" w:sz="4" w:space="0" w:color="auto"/>
            </w:tcBorders>
            <w:noWrap/>
            <w:vAlign w:val="bottom"/>
            <w:hideMark/>
          </w:tcPr>
          <w:p w14:paraId="72519D2F"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Age (years)</w:t>
            </w:r>
          </w:p>
        </w:tc>
        <w:tc>
          <w:tcPr>
            <w:tcW w:w="1375" w:type="pct"/>
            <w:tcBorders>
              <w:top w:val="single" w:sz="4" w:space="0" w:color="auto"/>
            </w:tcBorders>
            <w:noWrap/>
            <w:vAlign w:val="center"/>
            <w:hideMark/>
          </w:tcPr>
          <w:p w14:paraId="4008081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60 ±11</w:t>
            </w:r>
          </w:p>
        </w:tc>
        <w:tc>
          <w:tcPr>
            <w:tcW w:w="1372" w:type="pct"/>
            <w:tcBorders>
              <w:top w:val="single" w:sz="4" w:space="0" w:color="auto"/>
            </w:tcBorders>
            <w:noWrap/>
            <w:vAlign w:val="center"/>
            <w:hideMark/>
          </w:tcPr>
          <w:p w14:paraId="0F2A45A0"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61 ±11</w:t>
            </w:r>
          </w:p>
        </w:tc>
        <w:tc>
          <w:tcPr>
            <w:tcW w:w="187" w:type="pct"/>
            <w:tcBorders>
              <w:top w:val="single" w:sz="4" w:space="0" w:color="auto"/>
            </w:tcBorders>
            <w:noWrap/>
            <w:vAlign w:val="bottom"/>
            <w:hideMark/>
          </w:tcPr>
          <w:p w14:paraId="63BDCF9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0.578</w:t>
            </w:r>
          </w:p>
        </w:tc>
      </w:tr>
      <w:tr w:rsidR="00AE0505" w:rsidRPr="00C70B7C" w14:paraId="75A02858" w14:textId="77777777" w:rsidTr="00F27BF6">
        <w:trPr>
          <w:trHeight w:val="315"/>
          <w:jc w:val="center"/>
        </w:trPr>
        <w:tc>
          <w:tcPr>
            <w:tcW w:w="2066" w:type="pct"/>
            <w:noWrap/>
            <w:vAlign w:val="bottom"/>
            <w:hideMark/>
          </w:tcPr>
          <w:p w14:paraId="3ADCCAF8"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Gender</w:t>
            </w:r>
          </w:p>
        </w:tc>
        <w:tc>
          <w:tcPr>
            <w:tcW w:w="1375" w:type="pct"/>
            <w:noWrap/>
            <w:vAlign w:val="bottom"/>
            <w:hideMark/>
          </w:tcPr>
          <w:p w14:paraId="436362A3"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1372" w:type="pct"/>
            <w:noWrap/>
            <w:vAlign w:val="bottom"/>
            <w:hideMark/>
          </w:tcPr>
          <w:p w14:paraId="56CBD92F"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187" w:type="pct"/>
            <w:noWrap/>
            <w:vAlign w:val="bottom"/>
            <w:hideMark/>
          </w:tcPr>
          <w:p w14:paraId="6557D556"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r>
      <w:tr w:rsidR="00AE0505" w:rsidRPr="00C70B7C" w14:paraId="61FB58D4" w14:textId="77777777" w:rsidTr="00F27BF6">
        <w:trPr>
          <w:trHeight w:val="315"/>
          <w:jc w:val="center"/>
        </w:trPr>
        <w:tc>
          <w:tcPr>
            <w:tcW w:w="2066" w:type="pct"/>
            <w:noWrap/>
            <w:vAlign w:val="bottom"/>
            <w:hideMark/>
          </w:tcPr>
          <w:p w14:paraId="1C38AB96"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Male</w:t>
            </w:r>
          </w:p>
        </w:tc>
        <w:tc>
          <w:tcPr>
            <w:tcW w:w="1375" w:type="pct"/>
            <w:noWrap/>
            <w:vAlign w:val="center"/>
            <w:hideMark/>
          </w:tcPr>
          <w:p w14:paraId="451B577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87 (59.2)</w:t>
            </w:r>
          </w:p>
        </w:tc>
        <w:tc>
          <w:tcPr>
            <w:tcW w:w="1372" w:type="pct"/>
            <w:noWrap/>
            <w:vAlign w:val="center"/>
            <w:hideMark/>
          </w:tcPr>
          <w:p w14:paraId="44F705A9"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102 (60.7)</w:t>
            </w:r>
          </w:p>
        </w:tc>
        <w:tc>
          <w:tcPr>
            <w:tcW w:w="187" w:type="pct"/>
            <w:vMerge w:val="restart"/>
            <w:noWrap/>
            <w:vAlign w:val="center"/>
            <w:hideMark/>
          </w:tcPr>
          <w:p w14:paraId="53A0FC49"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0.782</w:t>
            </w:r>
          </w:p>
        </w:tc>
      </w:tr>
      <w:tr w:rsidR="00AE0505" w:rsidRPr="00C70B7C" w14:paraId="0D9F9064" w14:textId="77777777" w:rsidTr="00F27BF6">
        <w:trPr>
          <w:trHeight w:val="315"/>
          <w:jc w:val="center"/>
        </w:trPr>
        <w:tc>
          <w:tcPr>
            <w:tcW w:w="2066" w:type="pct"/>
            <w:noWrap/>
            <w:vAlign w:val="bottom"/>
            <w:hideMark/>
          </w:tcPr>
          <w:p w14:paraId="028BB4D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Female</w:t>
            </w:r>
          </w:p>
        </w:tc>
        <w:tc>
          <w:tcPr>
            <w:tcW w:w="1375" w:type="pct"/>
            <w:noWrap/>
            <w:vAlign w:val="center"/>
            <w:hideMark/>
          </w:tcPr>
          <w:p w14:paraId="44A4ED80"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60 (40.8)</w:t>
            </w:r>
          </w:p>
        </w:tc>
        <w:tc>
          <w:tcPr>
            <w:tcW w:w="1372" w:type="pct"/>
            <w:noWrap/>
            <w:vAlign w:val="center"/>
            <w:hideMark/>
          </w:tcPr>
          <w:p w14:paraId="0638221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66 (39.3)</w:t>
            </w:r>
          </w:p>
        </w:tc>
        <w:tc>
          <w:tcPr>
            <w:tcW w:w="187" w:type="pct"/>
            <w:vMerge/>
            <w:vAlign w:val="center"/>
            <w:hideMark/>
          </w:tcPr>
          <w:p w14:paraId="3280ADFD"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r>
      <w:tr w:rsidR="00AE0505" w:rsidRPr="00C70B7C" w14:paraId="51D6D310" w14:textId="77777777" w:rsidTr="00F27BF6">
        <w:trPr>
          <w:trHeight w:val="315"/>
          <w:jc w:val="center"/>
        </w:trPr>
        <w:tc>
          <w:tcPr>
            <w:tcW w:w="2066" w:type="pct"/>
            <w:noWrap/>
            <w:vAlign w:val="bottom"/>
            <w:hideMark/>
          </w:tcPr>
          <w:p w14:paraId="3D72F8C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BMI</w:t>
            </w:r>
          </w:p>
        </w:tc>
        <w:tc>
          <w:tcPr>
            <w:tcW w:w="1375" w:type="pct"/>
            <w:noWrap/>
            <w:vAlign w:val="center"/>
            <w:hideMark/>
          </w:tcPr>
          <w:p w14:paraId="7EBE1FA9"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30.46 ±5.16</w:t>
            </w:r>
          </w:p>
        </w:tc>
        <w:tc>
          <w:tcPr>
            <w:tcW w:w="1372" w:type="pct"/>
            <w:noWrap/>
            <w:vAlign w:val="center"/>
            <w:hideMark/>
          </w:tcPr>
          <w:p w14:paraId="5ED199E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30.2 ±5.28</w:t>
            </w:r>
          </w:p>
        </w:tc>
        <w:tc>
          <w:tcPr>
            <w:tcW w:w="187" w:type="pct"/>
            <w:noWrap/>
            <w:vAlign w:val="bottom"/>
            <w:hideMark/>
          </w:tcPr>
          <w:p w14:paraId="2A09B7A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0.665</w:t>
            </w:r>
          </w:p>
        </w:tc>
      </w:tr>
      <w:tr w:rsidR="00AE0505" w:rsidRPr="00C70B7C" w14:paraId="7DE41798" w14:textId="77777777" w:rsidTr="00F27BF6">
        <w:trPr>
          <w:trHeight w:val="315"/>
          <w:jc w:val="center"/>
        </w:trPr>
        <w:tc>
          <w:tcPr>
            <w:tcW w:w="2066" w:type="pct"/>
            <w:noWrap/>
            <w:vAlign w:val="bottom"/>
            <w:hideMark/>
          </w:tcPr>
          <w:p w14:paraId="396BE76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Presentation</w:t>
            </w:r>
          </w:p>
        </w:tc>
        <w:tc>
          <w:tcPr>
            <w:tcW w:w="1375" w:type="pct"/>
            <w:noWrap/>
            <w:vAlign w:val="bottom"/>
            <w:hideMark/>
          </w:tcPr>
          <w:p w14:paraId="7B99250B"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1372" w:type="pct"/>
            <w:noWrap/>
            <w:vAlign w:val="bottom"/>
            <w:hideMark/>
          </w:tcPr>
          <w:p w14:paraId="3D2F13E7"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187" w:type="pct"/>
            <w:noWrap/>
            <w:vAlign w:val="bottom"/>
            <w:hideMark/>
          </w:tcPr>
          <w:p w14:paraId="521B56F7"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r>
      <w:tr w:rsidR="00AE0505" w:rsidRPr="00C70B7C" w14:paraId="43252955" w14:textId="77777777" w:rsidTr="00F27BF6">
        <w:trPr>
          <w:trHeight w:val="315"/>
          <w:jc w:val="center"/>
        </w:trPr>
        <w:tc>
          <w:tcPr>
            <w:tcW w:w="2066" w:type="pct"/>
            <w:noWrap/>
            <w:vAlign w:val="bottom"/>
            <w:hideMark/>
          </w:tcPr>
          <w:p w14:paraId="326A289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hAnsiTheme="majorBidi" w:cstheme="majorBidi"/>
                <w:sz w:val="24"/>
                <w:szCs w:val="24"/>
              </w:rPr>
              <w:t>Unstable Angina</w:t>
            </w:r>
          </w:p>
        </w:tc>
        <w:tc>
          <w:tcPr>
            <w:tcW w:w="1375" w:type="pct"/>
            <w:noWrap/>
            <w:vAlign w:val="center"/>
            <w:hideMark/>
          </w:tcPr>
          <w:p w14:paraId="2DA3106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52 (35.4)</w:t>
            </w:r>
          </w:p>
        </w:tc>
        <w:tc>
          <w:tcPr>
            <w:tcW w:w="1372" w:type="pct"/>
            <w:noWrap/>
            <w:vAlign w:val="center"/>
            <w:hideMark/>
          </w:tcPr>
          <w:p w14:paraId="63B81A9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47 (28)</w:t>
            </w:r>
          </w:p>
        </w:tc>
        <w:tc>
          <w:tcPr>
            <w:tcW w:w="187" w:type="pct"/>
            <w:vMerge w:val="restart"/>
            <w:noWrap/>
            <w:vAlign w:val="center"/>
            <w:hideMark/>
          </w:tcPr>
          <w:p w14:paraId="28E0623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0.158</w:t>
            </w:r>
          </w:p>
        </w:tc>
      </w:tr>
      <w:tr w:rsidR="00AE0505" w:rsidRPr="00C70B7C" w14:paraId="3CCC8810" w14:textId="77777777" w:rsidTr="00F27BF6">
        <w:trPr>
          <w:trHeight w:val="315"/>
          <w:jc w:val="center"/>
        </w:trPr>
        <w:tc>
          <w:tcPr>
            <w:tcW w:w="2066" w:type="pct"/>
            <w:noWrap/>
            <w:vAlign w:val="bottom"/>
            <w:hideMark/>
          </w:tcPr>
          <w:p w14:paraId="03AF68B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NSTEMI</w:t>
            </w:r>
          </w:p>
        </w:tc>
        <w:tc>
          <w:tcPr>
            <w:tcW w:w="1375" w:type="pct"/>
            <w:noWrap/>
            <w:vAlign w:val="center"/>
            <w:hideMark/>
          </w:tcPr>
          <w:p w14:paraId="7B4FF45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95 (64.6)</w:t>
            </w:r>
          </w:p>
        </w:tc>
        <w:tc>
          <w:tcPr>
            <w:tcW w:w="1372" w:type="pct"/>
            <w:noWrap/>
            <w:vAlign w:val="center"/>
            <w:hideMark/>
          </w:tcPr>
          <w:p w14:paraId="455E781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121 (72)</w:t>
            </w:r>
          </w:p>
        </w:tc>
        <w:tc>
          <w:tcPr>
            <w:tcW w:w="187" w:type="pct"/>
            <w:vMerge/>
            <w:vAlign w:val="center"/>
            <w:hideMark/>
          </w:tcPr>
          <w:p w14:paraId="5432D2C4"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r>
      <w:tr w:rsidR="00AE0505" w:rsidRPr="00C70B7C" w14:paraId="262ADCEC" w14:textId="77777777" w:rsidTr="00F27BF6">
        <w:trPr>
          <w:trHeight w:val="315"/>
          <w:jc w:val="center"/>
        </w:trPr>
        <w:tc>
          <w:tcPr>
            <w:tcW w:w="2066" w:type="pct"/>
            <w:noWrap/>
            <w:vAlign w:val="bottom"/>
            <w:hideMark/>
          </w:tcPr>
          <w:p w14:paraId="0D8CA602"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Systolic Blood Pressure</w:t>
            </w:r>
          </w:p>
        </w:tc>
        <w:tc>
          <w:tcPr>
            <w:tcW w:w="1375" w:type="pct"/>
            <w:noWrap/>
            <w:vAlign w:val="center"/>
            <w:hideMark/>
          </w:tcPr>
          <w:p w14:paraId="67C9462F"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131 ±22</w:t>
            </w:r>
          </w:p>
        </w:tc>
        <w:tc>
          <w:tcPr>
            <w:tcW w:w="1372" w:type="pct"/>
            <w:noWrap/>
            <w:vAlign w:val="center"/>
            <w:hideMark/>
          </w:tcPr>
          <w:p w14:paraId="2F966067"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130 ±23</w:t>
            </w:r>
          </w:p>
        </w:tc>
        <w:tc>
          <w:tcPr>
            <w:tcW w:w="187" w:type="pct"/>
            <w:noWrap/>
            <w:vAlign w:val="bottom"/>
            <w:hideMark/>
          </w:tcPr>
          <w:p w14:paraId="36FD1567"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0.651</w:t>
            </w:r>
          </w:p>
        </w:tc>
      </w:tr>
      <w:tr w:rsidR="00AE0505" w:rsidRPr="00C70B7C" w14:paraId="5AE0C6D5" w14:textId="77777777" w:rsidTr="00F27BF6">
        <w:trPr>
          <w:trHeight w:val="315"/>
          <w:jc w:val="center"/>
        </w:trPr>
        <w:tc>
          <w:tcPr>
            <w:tcW w:w="2066" w:type="pct"/>
            <w:noWrap/>
            <w:vAlign w:val="bottom"/>
            <w:hideMark/>
          </w:tcPr>
          <w:p w14:paraId="556A0EAB"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Diastolic Blood Pressure</w:t>
            </w:r>
          </w:p>
        </w:tc>
        <w:tc>
          <w:tcPr>
            <w:tcW w:w="1375" w:type="pct"/>
            <w:noWrap/>
            <w:vAlign w:val="center"/>
            <w:hideMark/>
          </w:tcPr>
          <w:p w14:paraId="60C1942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84 ±14</w:t>
            </w:r>
          </w:p>
        </w:tc>
        <w:tc>
          <w:tcPr>
            <w:tcW w:w="1372" w:type="pct"/>
            <w:noWrap/>
            <w:vAlign w:val="center"/>
            <w:hideMark/>
          </w:tcPr>
          <w:p w14:paraId="7D5D9AC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83 ±14</w:t>
            </w:r>
          </w:p>
        </w:tc>
        <w:tc>
          <w:tcPr>
            <w:tcW w:w="187" w:type="pct"/>
            <w:noWrap/>
            <w:vAlign w:val="bottom"/>
            <w:hideMark/>
          </w:tcPr>
          <w:p w14:paraId="0B085CE7"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0.509</w:t>
            </w:r>
          </w:p>
        </w:tc>
      </w:tr>
      <w:tr w:rsidR="00AE0505" w:rsidRPr="00C70B7C" w14:paraId="7AC2CF9C" w14:textId="77777777" w:rsidTr="00F27BF6">
        <w:trPr>
          <w:trHeight w:val="315"/>
          <w:jc w:val="center"/>
        </w:trPr>
        <w:tc>
          <w:tcPr>
            <w:tcW w:w="2066" w:type="pct"/>
            <w:noWrap/>
            <w:vAlign w:val="bottom"/>
            <w:hideMark/>
          </w:tcPr>
          <w:p w14:paraId="7C38CD11"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Heart Rate</w:t>
            </w:r>
          </w:p>
        </w:tc>
        <w:tc>
          <w:tcPr>
            <w:tcW w:w="1375" w:type="pct"/>
            <w:noWrap/>
            <w:vAlign w:val="center"/>
            <w:hideMark/>
          </w:tcPr>
          <w:p w14:paraId="2A1FF066"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86 ±10</w:t>
            </w:r>
          </w:p>
        </w:tc>
        <w:tc>
          <w:tcPr>
            <w:tcW w:w="1372" w:type="pct"/>
            <w:noWrap/>
            <w:vAlign w:val="center"/>
            <w:hideMark/>
          </w:tcPr>
          <w:p w14:paraId="2656503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87 ±11</w:t>
            </w:r>
          </w:p>
        </w:tc>
        <w:tc>
          <w:tcPr>
            <w:tcW w:w="187" w:type="pct"/>
            <w:noWrap/>
            <w:vAlign w:val="bottom"/>
            <w:hideMark/>
          </w:tcPr>
          <w:p w14:paraId="584F718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0.437</w:t>
            </w:r>
          </w:p>
        </w:tc>
      </w:tr>
      <w:tr w:rsidR="00AE0505" w:rsidRPr="00C70B7C" w14:paraId="33E55F76" w14:textId="77777777" w:rsidTr="00F27BF6">
        <w:trPr>
          <w:trHeight w:val="315"/>
          <w:jc w:val="center"/>
        </w:trPr>
        <w:tc>
          <w:tcPr>
            <w:tcW w:w="2066" w:type="pct"/>
            <w:noWrap/>
            <w:vAlign w:val="bottom"/>
            <w:hideMark/>
          </w:tcPr>
          <w:p w14:paraId="1EA37AC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Heart Rate</w:t>
            </w:r>
          </w:p>
        </w:tc>
        <w:tc>
          <w:tcPr>
            <w:tcW w:w="1375" w:type="pct"/>
            <w:noWrap/>
            <w:vAlign w:val="center"/>
            <w:hideMark/>
          </w:tcPr>
          <w:p w14:paraId="00A9D560"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17 ±4</w:t>
            </w:r>
          </w:p>
        </w:tc>
        <w:tc>
          <w:tcPr>
            <w:tcW w:w="1372" w:type="pct"/>
            <w:noWrap/>
            <w:vAlign w:val="center"/>
            <w:hideMark/>
          </w:tcPr>
          <w:p w14:paraId="0E6B766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17 ±4</w:t>
            </w:r>
          </w:p>
        </w:tc>
        <w:tc>
          <w:tcPr>
            <w:tcW w:w="187" w:type="pct"/>
            <w:noWrap/>
            <w:vAlign w:val="bottom"/>
            <w:hideMark/>
          </w:tcPr>
          <w:p w14:paraId="4BA92B0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0.933</w:t>
            </w:r>
          </w:p>
        </w:tc>
      </w:tr>
      <w:tr w:rsidR="00AE0505" w:rsidRPr="00C70B7C" w14:paraId="61855466" w14:textId="77777777" w:rsidTr="00F27BF6">
        <w:trPr>
          <w:trHeight w:val="315"/>
          <w:jc w:val="center"/>
        </w:trPr>
        <w:tc>
          <w:tcPr>
            <w:tcW w:w="2066" w:type="pct"/>
            <w:noWrap/>
            <w:vAlign w:val="bottom"/>
            <w:hideMark/>
          </w:tcPr>
          <w:p w14:paraId="018C09D6"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 (%)</w:t>
            </w:r>
          </w:p>
        </w:tc>
        <w:tc>
          <w:tcPr>
            <w:tcW w:w="1375" w:type="pct"/>
            <w:noWrap/>
            <w:vAlign w:val="center"/>
            <w:hideMark/>
          </w:tcPr>
          <w:p w14:paraId="746213A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96 ±2</w:t>
            </w:r>
          </w:p>
        </w:tc>
        <w:tc>
          <w:tcPr>
            <w:tcW w:w="1372" w:type="pct"/>
            <w:noWrap/>
            <w:vAlign w:val="center"/>
            <w:hideMark/>
          </w:tcPr>
          <w:p w14:paraId="719907B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96 ±3</w:t>
            </w:r>
          </w:p>
        </w:tc>
        <w:tc>
          <w:tcPr>
            <w:tcW w:w="187" w:type="pct"/>
            <w:noWrap/>
            <w:vAlign w:val="bottom"/>
            <w:hideMark/>
          </w:tcPr>
          <w:p w14:paraId="16CA149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0.609</w:t>
            </w:r>
          </w:p>
        </w:tc>
      </w:tr>
      <w:tr w:rsidR="00AE0505" w:rsidRPr="00C70B7C" w14:paraId="7E6566DC" w14:textId="77777777" w:rsidTr="00F27BF6">
        <w:trPr>
          <w:trHeight w:val="315"/>
          <w:jc w:val="center"/>
        </w:trPr>
        <w:tc>
          <w:tcPr>
            <w:tcW w:w="2066" w:type="pct"/>
            <w:noWrap/>
            <w:vAlign w:val="bottom"/>
            <w:hideMark/>
          </w:tcPr>
          <w:p w14:paraId="5303C1F1"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Temperature</w:t>
            </w:r>
          </w:p>
        </w:tc>
        <w:tc>
          <w:tcPr>
            <w:tcW w:w="1375" w:type="pct"/>
            <w:noWrap/>
            <w:vAlign w:val="center"/>
            <w:hideMark/>
          </w:tcPr>
          <w:p w14:paraId="5234222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36.8 ±0.3</w:t>
            </w:r>
          </w:p>
        </w:tc>
        <w:tc>
          <w:tcPr>
            <w:tcW w:w="1372" w:type="pct"/>
            <w:noWrap/>
            <w:vAlign w:val="center"/>
            <w:hideMark/>
          </w:tcPr>
          <w:p w14:paraId="350FFA3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36.8 ±0.3</w:t>
            </w:r>
          </w:p>
        </w:tc>
        <w:tc>
          <w:tcPr>
            <w:tcW w:w="187" w:type="pct"/>
            <w:noWrap/>
            <w:vAlign w:val="bottom"/>
            <w:hideMark/>
          </w:tcPr>
          <w:p w14:paraId="40FE7F46"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0.707</w:t>
            </w:r>
          </w:p>
        </w:tc>
      </w:tr>
      <w:tr w:rsidR="00AE0505" w:rsidRPr="00C70B7C" w14:paraId="4AD5802E" w14:textId="77777777" w:rsidTr="00F27BF6">
        <w:trPr>
          <w:trHeight w:val="315"/>
          <w:jc w:val="center"/>
        </w:trPr>
        <w:tc>
          <w:tcPr>
            <w:tcW w:w="2066" w:type="pct"/>
            <w:noWrap/>
            <w:vAlign w:val="bottom"/>
            <w:hideMark/>
          </w:tcPr>
          <w:p w14:paraId="1327FC3D"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Smoking</w:t>
            </w:r>
          </w:p>
        </w:tc>
        <w:tc>
          <w:tcPr>
            <w:tcW w:w="1375" w:type="pct"/>
            <w:noWrap/>
            <w:vAlign w:val="center"/>
            <w:hideMark/>
          </w:tcPr>
          <w:p w14:paraId="00045C7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87 (59.2)</w:t>
            </w:r>
          </w:p>
        </w:tc>
        <w:tc>
          <w:tcPr>
            <w:tcW w:w="1372" w:type="pct"/>
            <w:noWrap/>
            <w:vAlign w:val="center"/>
            <w:hideMark/>
          </w:tcPr>
          <w:p w14:paraId="425B424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89 (53)</w:t>
            </w:r>
          </w:p>
        </w:tc>
        <w:tc>
          <w:tcPr>
            <w:tcW w:w="187" w:type="pct"/>
            <w:noWrap/>
            <w:vAlign w:val="bottom"/>
            <w:hideMark/>
          </w:tcPr>
          <w:p w14:paraId="420B695A"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0.268</w:t>
            </w:r>
          </w:p>
        </w:tc>
      </w:tr>
      <w:tr w:rsidR="00AE0505" w:rsidRPr="00C70B7C" w14:paraId="22E08CEE" w14:textId="77777777" w:rsidTr="00F27BF6">
        <w:trPr>
          <w:trHeight w:val="315"/>
          <w:jc w:val="center"/>
        </w:trPr>
        <w:tc>
          <w:tcPr>
            <w:tcW w:w="2066" w:type="pct"/>
            <w:noWrap/>
            <w:vAlign w:val="bottom"/>
            <w:hideMark/>
          </w:tcPr>
          <w:p w14:paraId="7BA3406B"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Hypertension</w:t>
            </w:r>
          </w:p>
        </w:tc>
        <w:tc>
          <w:tcPr>
            <w:tcW w:w="1375" w:type="pct"/>
            <w:noWrap/>
            <w:vAlign w:val="center"/>
            <w:hideMark/>
          </w:tcPr>
          <w:p w14:paraId="40EB55A9"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86 (58.5)</w:t>
            </w:r>
          </w:p>
        </w:tc>
        <w:tc>
          <w:tcPr>
            <w:tcW w:w="1372" w:type="pct"/>
            <w:noWrap/>
            <w:vAlign w:val="center"/>
            <w:hideMark/>
          </w:tcPr>
          <w:p w14:paraId="1F4219E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91 (54.2)</w:t>
            </w:r>
          </w:p>
        </w:tc>
        <w:tc>
          <w:tcPr>
            <w:tcW w:w="187" w:type="pct"/>
            <w:noWrap/>
            <w:vAlign w:val="bottom"/>
            <w:hideMark/>
          </w:tcPr>
          <w:p w14:paraId="45E9514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0.439</w:t>
            </w:r>
          </w:p>
        </w:tc>
      </w:tr>
      <w:tr w:rsidR="00AE0505" w:rsidRPr="00C70B7C" w14:paraId="444D3C55" w14:textId="77777777" w:rsidTr="00F27BF6">
        <w:trPr>
          <w:trHeight w:val="315"/>
          <w:jc w:val="center"/>
        </w:trPr>
        <w:tc>
          <w:tcPr>
            <w:tcW w:w="2066" w:type="pct"/>
            <w:noWrap/>
            <w:vAlign w:val="bottom"/>
            <w:hideMark/>
          </w:tcPr>
          <w:p w14:paraId="1B8B4268"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Diabetes mellitus</w:t>
            </w:r>
          </w:p>
        </w:tc>
        <w:tc>
          <w:tcPr>
            <w:tcW w:w="1375" w:type="pct"/>
            <w:noWrap/>
            <w:vAlign w:val="center"/>
            <w:hideMark/>
          </w:tcPr>
          <w:p w14:paraId="487F4F3F"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23 (15.6)</w:t>
            </w:r>
          </w:p>
        </w:tc>
        <w:tc>
          <w:tcPr>
            <w:tcW w:w="1372" w:type="pct"/>
            <w:noWrap/>
            <w:vAlign w:val="center"/>
            <w:hideMark/>
          </w:tcPr>
          <w:p w14:paraId="570FF7F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135 (80.4)</w:t>
            </w:r>
          </w:p>
        </w:tc>
        <w:tc>
          <w:tcPr>
            <w:tcW w:w="187" w:type="pct"/>
            <w:noWrap/>
            <w:vAlign w:val="center"/>
            <w:hideMark/>
          </w:tcPr>
          <w:p w14:paraId="1AA8443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r w:rsidR="00AE0505" w:rsidRPr="00C70B7C" w14:paraId="00D56097" w14:textId="77777777" w:rsidTr="00F27BF6">
        <w:trPr>
          <w:trHeight w:val="315"/>
          <w:jc w:val="center"/>
        </w:trPr>
        <w:tc>
          <w:tcPr>
            <w:tcW w:w="2066" w:type="pct"/>
            <w:noWrap/>
            <w:vAlign w:val="bottom"/>
            <w:hideMark/>
          </w:tcPr>
          <w:p w14:paraId="6210609E"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Stroke</w:t>
            </w:r>
          </w:p>
        </w:tc>
        <w:tc>
          <w:tcPr>
            <w:tcW w:w="1375" w:type="pct"/>
            <w:noWrap/>
            <w:vAlign w:val="center"/>
            <w:hideMark/>
          </w:tcPr>
          <w:p w14:paraId="2957822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2 (1.4)</w:t>
            </w:r>
          </w:p>
        </w:tc>
        <w:tc>
          <w:tcPr>
            <w:tcW w:w="1372" w:type="pct"/>
            <w:noWrap/>
            <w:vAlign w:val="center"/>
            <w:hideMark/>
          </w:tcPr>
          <w:p w14:paraId="1D28526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 (4.8)</w:t>
            </w:r>
          </w:p>
        </w:tc>
        <w:tc>
          <w:tcPr>
            <w:tcW w:w="187" w:type="pct"/>
            <w:noWrap/>
            <w:vAlign w:val="bottom"/>
            <w:hideMark/>
          </w:tcPr>
          <w:p w14:paraId="2EEE238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0.086</w:t>
            </w:r>
          </w:p>
        </w:tc>
      </w:tr>
      <w:tr w:rsidR="00AE0505" w:rsidRPr="00C70B7C" w14:paraId="3DD2006E" w14:textId="77777777" w:rsidTr="00F27BF6">
        <w:trPr>
          <w:trHeight w:val="315"/>
          <w:jc w:val="center"/>
        </w:trPr>
        <w:tc>
          <w:tcPr>
            <w:tcW w:w="2066" w:type="pct"/>
            <w:noWrap/>
            <w:vAlign w:val="bottom"/>
            <w:hideMark/>
          </w:tcPr>
          <w:p w14:paraId="14E727F9"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Other comorbidities</w:t>
            </w:r>
          </w:p>
        </w:tc>
        <w:tc>
          <w:tcPr>
            <w:tcW w:w="1375" w:type="pct"/>
            <w:noWrap/>
            <w:vAlign w:val="center"/>
            <w:hideMark/>
          </w:tcPr>
          <w:p w14:paraId="02F527E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13 (8.8)</w:t>
            </w:r>
          </w:p>
        </w:tc>
        <w:tc>
          <w:tcPr>
            <w:tcW w:w="1372" w:type="pct"/>
            <w:noWrap/>
            <w:vAlign w:val="center"/>
            <w:hideMark/>
          </w:tcPr>
          <w:p w14:paraId="1208302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22 (13.1)</w:t>
            </w:r>
          </w:p>
        </w:tc>
        <w:tc>
          <w:tcPr>
            <w:tcW w:w="187" w:type="pct"/>
            <w:noWrap/>
            <w:vAlign w:val="bottom"/>
            <w:hideMark/>
          </w:tcPr>
          <w:p w14:paraId="5F2C33F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0.231</w:t>
            </w:r>
          </w:p>
        </w:tc>
      </w:tr>
    </w:tbl>
    <w:p w14:paraId="3C674398" w14:textId="77777777" w:rsidR="00AE0505" w:rsidRPr="00C70B7C" w:rsidRDefault="00AE0505" w:rsidP="00C70B7C">
      <w:pPr>
        <w:pStyle w:val="P"/>
        <w:spacing w:before="120" w:after="240" w:line="360" w:lineRule="auto"/>
        <w:jc w:val="both"/>
        <w:rPr>
          <w:rFonts w:asciiTheme="majorBidi" w:hAnsiTheme="majorBidi" w:cstheme="majorBidi"/>
          <w:lang w:val="en-GB"/>
        </w:rPr>
      </w:pPr>
    </w:p>
    <w:p w14:paraId="6098EA92" w14:textId="77777777" w:rsidR="00DD4EFA" w:rsidRPr="00C70B7C" w:rsidRDefault="00DD4EFA" w:rsidP="00C70B7C">
      <w:pPr>
        <w:pStyle w:val="P"/>
        <w:spacing w:before="120" w:after="240" w:line="360" w:lineRule="auto"/>
        <w:jc w:val="both"/>
        <w:rPr>
          <w:rFonts w:asciiTheme="majorBidi" w:hAnsiTheme="majorBidi" w:cstheme="majorBidi"/>
          <w:lang w:val="en-GB"/>
        </w:rPr>
      </w:pPr>
    </w:p>
    <w:p w14:paraId="656BC066" w14:textId="77777777" w:rsidR="00AE0505" w:rsidRPr="00C70B7C" w:rsidRDefault="00AE0505" w:rsidP="00C70B7C">
      <w:pPr>
        <w:pStyle w:val="P"/>
        <w:spacing w:before="120" w:after="240" w:line="360" w:lineRule="auto"/>
        <w:jc w:val="both"/>
        <w:rPr>
          <w:rFonts w:asciiTheme="majorBidi" w:hAnsiTheme="majorBidi" w:cstheme="majorBidi"/>
          <w:lang w:val="en-GB"/>
        </w:rPr>
      </w:pPr>
    </w:p>
    <w:p w14:paraId="71C0EF54" w14:textId="77777777" w:rsidR="00AE0505" w:rsidRPr="00C70B7C" w:rsidRDefault="00AE0505" w:rsidP="00C70B7C">
      <w:pPr>
        <w:pStyle w:val="P"/>
        <w:spacing w:before="120" w:after="240" w:line="360" w:lineRule="auto"/>
        <w:jc w:val="both"/>
        <w:rPr>
          <w:rFonts w:asciiTheme="majorBidi" w:hAnsiTheme="majorBidi" w:cstheme="majorBidi"/>
          <w:lang w:val="en-GB"/>
        </w:rPr>
      </w:pPr>
    </w:p>
    <w:p w14:paraId="11AA6766" w14:textId="77777777" w:rsidR="00AE0505" w:rsidRPr="00C70B7C" w:rsidRDefault="00AE0505" w:rsidP="00C70B7C">
      <w:pPr>
        <w:pStyle w:val="P"/>
        <w:spacing w:before="120" w:after="240" w:line="360" w:lineRule="auto"/>
        <w:jc w:val="both"/>
        <w:rPr>
          <w:rFonts w:asciiTheme="majorBidi" w:hAnsiTheme="majorBidi" w:cstheme="majorBidi"/>
          <w:lang w:val="en-GB"/>
        </w:rPr>
      </w:pPr>
    </w:p>
    <w:p w14:paraId="514D6D86" w14:textId="77777777" w:rsidR="00AE0505" w:rsidRPr="00C70B7C" w:rsidRDefault="00AE0505" w:rsidP="00C70B7C">
      <w:pPr>
        <w:pStyle w:val="P"/>
        <w:spacing w:before="120" w:after="240" w:line="360" w:lineRule="auto"/>
        <w:jc w:val="both"/>
        <w:rPr>
          <w:rFonts w:asciiTheme="majorBidi" w:hAnsiTheme="majorBidi" w:cstheme="majorBidi"/>
          <w:lang w:val="en-GB"/>
        </w:rPr>
      </w:pPr>
    </w:p>
    <w:p w14:paraId="226F93BC" w14:textId="77777777" w:rsidR="00AE0505" w:rsidRPr="00C70B7C" w:rsidRDefault="00AE0505" w:rsidP="00C70B7C">
      <w:pPr>
        <w:pStyle w:val="P"/>
        <w:spacing w:before="120" w:after="240" w:line="360" w:lineRule="auto"/>
        <w:jc w:val="both"/>
        <w:rPr>
          <w:rFonts w:asciiTheme="majorBidi" w:hAnsiTheme="majorBidi" w:cstheme="majorBidi"/>
          <w:lang w:val="en-GB"/>
        </w:rPr>
      </w:pPr>
    </w:p>
    <w:p w14:paraId="2D8355E9" w14:textId="77777777" w:rsidR="00AE0505" w:rsidRPr="00C70B7C" w:rsidRDefault="00AE0505" w:rsidP="00C70B7C">
      <w:pPr>
        <w:pStyle w:val="P"/>
        <w:spacing w:before="120" w:after="240" w:line="360" w:lineRule="auto"/>
        <w:jc w:val="both"/>
        <w:rPr>
          <w:rFonts w:asciiTheme="majorBidi" w:hAnsiTheme="majorBidi" w:cstheme="majorBidi"/>
          <w:lang w:val="en-GB"/>
        </w:rPr>
      </w:pPr>
    </w:p>
    <w:p w14:paraId="5EFBF4DC" w14:textId="77777777" w:rsidR="00C70B7C" w:rsidRDefault="00C70B7C" w:rsidP="00C70B7C">
      <w:pPr>
        <w:pStyle w:val="ac"/>
        <w:keepNext w:val="0"/>
        <w:spacing w:before="120" w:after="240"/>
        <w:rPr>
          <w:rFonts w:asciiTheme="majorBidi" w:hAnsiTheme="majorBidi" w:cstheme="majorBidi"/>
        </w:rPr>
      </w:pPr>
    </w:p>
    <w:p w14:paraId="0071966E" w14:textId="345293C6" w:rsidR="00AE0505" w:rsidRPr="00C70B7C" w:rsidRDefault="0086027F" w:rsidP="00C70B7C">
      <w:pPr>
        <w:pStyle w:val="ac"/>
        <w:keepNext w:val="0"/>
        <w:spacing w:before="120" w:after="240"/>
        <w:rPr>
          <w:rFonts w:asciiTheme="majorBidi" w:hAnsiTheme="majorBidi" w:cstheme="majorBidi"/>
        </w:rPr>
      </w:pPr>
      <w:r w:rsidRPr="00C70B7C">
        <w:rPr>
          <w:rFonts w:asciiTheme="majorBidi" w:hAnsiTheme="majorBidi" w:cstheme="majorBidi"/>
        </w:rPr>
        <w:lastRenderedPageBreak/>
        <w:t>Table 2: Correlations between TyG index and other parameters.</w:t>
      </w:r>
    </w:p>
    <w:tbl>
      <w:tblPr>
        <w:tblW w:w="4259" w:type="pct"/>
        <w:jc w:val="center"/>
        <w:tblBorders>
          <w:top w:val="single" w:sz="4" w:space="0" w:color="auto"/>
          <w:bottom w:val="single" w:sz="4" w:space="0" w:color="auto"/>
        </w:tblBorders>
        <w:tblLook w:val="04A0" w:firstRow="1" w:lastRow="0" w:firstColumn="1" w:lastColumn="0" w:noHBand="0" w:noVBand="1"/>
      </w:tblPr>
      <w:tblGrid>
        <w:gridCol w:w="6183"/>
        <w:gridCol w:w="961"/>
        <w:gridCol w:w="1013"/>
      </w:tblGrid>
      <w:tr w:rsidR="00AE0505" w:rsidRPr="00C70B7C" w14:paraId="72637C48" w14:textId="77777777" w:rsidTr="00C70B7C">
        <w:trPr>
          <w:trHeight w:val="315"/>
          <w:jc w:val="center"/>
        </w:trPr>
        <w:tc>
          <w:tcPr>
            <w:tcW w:w="3790" w:type="pct"/>
            <w:tcBorders>
              <w:bottom w:val="nil"/>
            </w:tcBorders>
            <w:noWrap/>
            <w:vAlign w:val="bottom"/>
          </w:tcPr>
          <w:p w14:paraId="20A4B0E3"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1210" w:type="pct"/>
            <w:gridSpan w:val="2"/>
            <w:tcBorders>
              <w:top w:val="single" w:sz="4" w:space="0" w:color="auto"/>
              <w:bottom w:val="single" w:sz="4" w:space="0" w:color="auto"/>
            </w:tcBorders>
            <w:noWrap/>
            <w:vAlign w:val="center"/>
          </w:tcPr>
          <w:p w14:paraId="6922AD69" w14:textId="77777777" w:rsidR="00AE0505" w:rsidRPr="00C70B7C" w:rsidRDefault="0086027F" w:rsidP="00C70B7C">
            <w:pPr>
              <w:spacing w:after="0" w:line="240" w:lineRule="auto"/>
              <w:jc w:val="center"/>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TyG Index</w:t>
            </w:r>
          </w:p>
        </w:tc>
      </w:tr>
      <w:tr w:rsidR="00C70B7C" w:rsidRPr="00C70B7C" w14:paraId="39647E2F" w14:textId="77777777" w:rsidTr="00C70B7C">
        <w:trPr>
          <w:trHeight w:val="315"/>
          <w:jc w:val="center"/>
        </w:trPr>
        <w:tc>
          <w:tcPr>
            <w:tcW w:w="3790" w:type="pct"/>
            <w:tcBorders>
              <w:top w:val="nil"/>
              <w:bottom w:val="single" w:sz="4" w:space="0" w:color="auto"/>
            </w:tcBorders>
            <w:noWrap/>
            <w:vAlign w:val="bottom"/>
            <w:hideMark/>
          </w:tcPr>
          <w:p w14:paraId="6DA3C44C"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775" w:type="pct"/>
            <w:tcBorders>
              <w:top w:val="single" w:sz="4" w:space="0" w:color="auto"/>
              <w:bottom w:val="single" w:sz="4" w:space="0" w:color="auto"/>
            </w:tcBorders>
            <w:noWrap/>
            <w:vAlign w:val="center"/>
            <w:hideMark/>
          </w:tcPr>
          <w:p w14:paraId="3EAE9869" w14:textId="77777777" w:rsidR="00AE0505" w:rsidRPr="00C70B7C" w:rsidRDefault="0086027F" w:rsidP="00BC40D3">
            <w:pPr>
              <w:spacing w:after="0" w:line="240" w:lineRule="auto"/>
              <w:jc w:val="center"/>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r</w:t>
            </w:r>
          </w:p>
        </w:tc>
        <w:tc>
          <w:tcPr>
            <w:tcW w:w="435" w:type="pct"/>
            <w:tcBorders>
              <w:top w:val="single" w:sz="4" w:space="0" w:color="auto"/>
              <w:bottom w:val="single" w:sz="4" w:space="0" w:color="auto"/>
            </w:tcBorders>
            <w:noWrap/>
            <w:vAlign w:val="center"/>
            <w:hideMark/>
          </w:tcPr>
          <w:p w14:paraId="4B19D746" w14:textId="77777777" w:rsidR="00AE0505" w:rsidRPr="00C70B7C" w:rsidRDefault="0086027F" w:rsidP="00BC40D3">
            <w:pPr>
              <w:spacing w:after="0" w:line="240" w:lineRule="auto"/>
              <w:jc w:val="center"/>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w:t>
            </w:r>
          </w:p>
        </w:tc>
      </w:tr>
      <w:tr w:rsidR="00C70B7C" w:rsidRPr="00C70B7C" w14:paraId="66551FB3" w14:textId="77777777" w:rsidTr="00C70B7C">
        <w:trPr>
          <w:trHeight w:val="315"/>
          <w:jc w:val="center"/>
        </w:trPr>
        <w:tc>
          <w:tcPr>
            <w:tcW w:w="3790" w:type="pct"/>
            <w:tcBorders>
              <w:top w:val="single" w:sz="4" w:space="0" w:color="auto"/>
            </w:tcBorders>
            <w:noWrap/>
            <w:vAlign w:val="bottom"/>
            <w:hideMark/>
          </w:tcPr>
          <w:p w14:paraId="5F499E2D"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Age (years)</w:t>
            </w:r>
          </w:p>
        </w:tc>
        <w:tc>
          <w:tcPr>
            <w:tcW w:w="775" w:type="pct"/>
            <w:tcBorders>
              <w:top w:val="single" w:sz="4" w:space="0" w:color="auto"/>
            </w:tcBorders>
            <w:noWrap/>
            <w:vAlign w:val="center"/>
            <w:hideMark/>
          </w:tcPr>
          <w:p w14:paraId="2645FAA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0.032</w:t>
            </w:r>
          </w:p>
        </w:tc>
        <w:tc>
          <w:tcPr>
            <w:tcW w:w="435" w:type="pct"/>
            <w:tcBorders>
              <w:top w:val="single" w:sz="4" w:space="0" w:color="auto"/>
            </w:tcBorders>
            <w:noWrap/>
            <w:vAlign w:val="center"/>
            <w:hideMark/>
          </w:tcPr>
          <w:p w14:paraId="65AE2F30"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0.571</w:t>
            </w:r>
          </w:p>
        </w:tc>
      </w:tr>
      <w:tr w:rsidR="00C70B7C" w:rsidRPr="00C70B7C" w14:paraId="7D5093AC" w14:textId="77777777" w:rsidTr="00C70B7C">
        <w:trPr>
          <w:trHeight w:val="315"/>
          <w:jc w:val="center"/>
        </w:trPr>
        <w:tc>
          <w:tcPr>
            <w:tcW w:w="3790" w:type="pct"/>
            <w:noWrap/>
            <w:vAlign w:val="bottom"/>
            <w:hideMark/>
          </w:tcPr>
          <w:p w14:paraId="6AADF901"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Body Mass Index</w:t>
            </w:r>
          </w:p>
        </w:tc>
        <w:tc>
          <w:tcPr>
            <w:tcW w:w="775" w:type="pct"/>
            <w:noWrap/>
            <w:vAlign w:val="center"/>
            <w:hideMark/>
          </w:tcPr>
          <w:p w14:paraId="2F36998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-0.003</w:t>
            </w:r>
          </w:p>
        </w:tc>
        <w:tc>
          <w:tcPr>
            <w:tcW w:w="435" w:type="pct"/>
            <w:noWrap/>
            <w:vAlign w:val="center"/>
            <w:hideMark/>
          </w:tcPr>
          <w:p w14:paraId="5CAD3ED7"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0.962</w:t>
            </w:r>
          </w:p>
        </w:tc>
      </w:tr>
      <w:tr w:rsidR="00C70B7C" w:rsidRPr="00C70B7C" w14:paraId="77F92F1F" w14:textId="77777777" w:rsidTr="00C70B7C">
        <w:trPr>
          <w:trHeight w:val="315"/>
          <w:jc w:val="center"/>
        </w:trPr>
        <w:tc>
          <w:tcPr>
            <w:tcW w:w="3790" w:type="pct"/>
            <w:noWrap/>
            <w:vAlign w:val="bottom"/>
            <w:hideMark/>
          </w:tcPr>
          <w:p w14:paraId="173E17F6"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Systolic Blood Pressure</w:t>
            </w:r>
          </w:p>
        </w:tc>
        <w:tc>
          <w:tcPr>
            <w:tcW w:w="775" w:type="pct"/>
            <w:noWrap/>
            <w:vAlign w:val="center"/>
            <w:hideMark/>
          </w:tcPr>
          <w:p w14:paraId="4429F030"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-0.003</w:t>
            </w:r>
          </w:p>
        </w:tc>
        <w:tc>
          <w:tcPr>
            <w:tcW w:w="435" w:type="pct"/>
            <w:noWrap/>
            <w:vAlign w:val="center"/>
            <w:hideMark/>
          </w:tcPr>
          <w:p w14:paraId="17F047A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0.957</w:t>
            </w:r>
          </w:p>
        </w:tc>
      </w:tr>
      <w:tr w:rsidR="00C70B7C" w:rsidRPr="00C70B7C" w14:paraId="4A02ED14" w14:textId="77777777" w:rsidTr="00C70B7C">
        <w:trPr>
          <w:trHeight w:val="315"/>
          <w:jc w:val="center"/>
        </w:trPr>
        <w:tc>
          <w:tcPr>
            <w:tcW w:w="3790" w:type="pct"/>
            <w:noWrap/>
            <w:vAlign w:val="bottom"/>
            <w:hideMark/>
          </w:tcPr>
          <w:p w14:paraId="2D91C295"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Diastolic Blood Pressure</w:t>
            </w:r>
          </w:p>
        </w:tc>
        <w:tc>
          <w:tcPr>
            <w:tcW w:w="775" w:type="pct"/>
            <w:noWrap/>
            <w:vAlign w:val="center"/>
            <w:hideMark/>
          </w:tcPr>
          <w:p w14:paraId="4BE28D9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-0.012</w:t>
            </w:r>
          </w:p>
        </w:tc>
        <w:tc>
          <w:tcPr>
            <w:tcW w:w="435" w:type="pct"/>
            <w:noWrap/>
            <w:vAlign w:val="center"/>
            <w:hideMark/>
          </w:tcPr>
          <w:p w14:paraId="4D5ED44A"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0.835</w:t>
            </w:r>
          </w:p>
        </w:tc>
      </w:tr>
      <w:tr w:rsidR="00C70B7C" w:rsidRPr="00C70B7C" w14:paraId="64C198F7" w14:textId="77777777" w:rsidTr="00C70B7C">
        <w:trPr>
          <w:trHeight w:val="315"/>
          <w:jc w:val="center"/>
        </w:trPr>
        <w:tc>
          <w:tcPr>
            <w:tcW w:w="3790" w:type="pct"/>
            <w:noWrap/>
            <w:vAlign w:val="bottom"/>
            <w:hideMark/>
          </w:tcPr>
          <w:p w14:paraId="6D4DFC11"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Heart Rate</w:t>
            </w:r>
          </w:p>
        </w:tc>
        <w:tc>
          <w:tcPr>
            <w:tcW w:w="775" w:type="pct"/>
            <w:noWrap/>
            <w:vAlign w:val="center"/>
            <w:hideMark/>
          </w:tcPr>
          <w:p w14:paraId="63CC1647"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0.085</w:t>
            </w:r>
          </w:p>
        </w:tc>
        <w:tc>
          <w:tcPr>
            <w:tcW w:w="435" w:type="pct"/>
            <w:noWrap/>
            <w:vAlign w:val="center"/>
            <w:hideMark/>
          </w:tcPr>
          <w:p w14:paraId="277F969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0.132</w:t>
            </w:r>
          </w:p>
        </w:tc>
      </w:tr>
      <w:tr w:rsidR="00C70B7C" w:rsidRPr="00C70B7C" w14:paraId="0716784E" w14:textId="77777777" w:rsidTr="00C70B7C">
        <w:trPr>
          <w:trHeight w:val="315"/>
          <w:jc w:val="center"/>
        </w:trPr>
        <w:tc>
          <w:tcPr>
            <w:tcW w:w="3790" w:type="pct"/>
            <w:noWrap/>
            <w:vAlign w:val="bottom"/>
            <w:hideMark/>
          </w:tcPr>
          <w:p w14:paraId="721621B5"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Respiratory Rate</w:t>
            </w:r>
          </w:p>
        </w:tc>
        <w:tc>
          <w:tcPr>
            <w:tcW w:w="775" w:type="pct"/>
            <w:noWrap/>
            <w:vAlign w:val="center"/>
            <w:hideMark/>
          </w:tcPr>
          <w:p w14:paraId="5617FEC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0.076</w:t>
            </w:r>
          </w:p>
        </w:tc>
        <w:tc>
          <w:tcPr>
            <w:tcW w:w="435" w:type="pct"/>
            <w:noWrap/>
            <w:vAlign w:val="center"/>
            <w:hideMark/>
          </w:tcPr>
          <w:p w14:paraId="719548C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0.177</w:t>
            </w:r>
          </w:p>
        </w:tc>
      </w:tr>
      <w:tr w:rsidR="00C70B7C" w:rsidRPr="00C70B7C" w14:paraId="37EC0E55" w14:textId="77777777" w:rsidTr="00C70B7C">
        <w:trPr>
          <w:trHeight w:val="315"/>
          <w:jc w:val="center"/>
        </w:trPr>
        <w:tc>
          <w:tcPr>
            <w:tcW w:w="3790" w:type="pct"/>
            <w:noWrap/>
            <w:vAlign w:val="bottom"/>
            <w:hideMark/>
          </w:tcPr>
          <w:p w14:paraId="0411F2D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Peripheral Oxygen Saturation (%)</w:t>
            </w:r>
          </w:p>
        </w:tc>
        <w:tc>
          <w:tcPr>
            <w:tcW w:w="775" w:type="pct"/>
            <w:noWrap/>
            <w:vAlign w:val="center"/>
            <w:hideMark/>
          </w:tcPr>
          <w:p w14:paraId="3F9D3BC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-0.069</w:t>
            </w:r>
          </w:p>
        </w:tc>
        <w:tc>
          <w:tcPr>
            <w:tcW w:w="435" w:type="pct"/>
            <w:noWrap/>
            <w:vAlign w:val="center"/>
            <w:hideMark/>
          </w:tcPr>
          <w:p w14:paraId="0E0A304F"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0.221</w:t>
            </w:r>
          </w:p>
        </w:tc>
      </w:tr>
      <w:tr w:rsidR="00C70B7C" w:rsidRPr="00C70B7C" w14:paraId="44CBB670" w14:textId="77777777" w:rsidTr="00C70B7C">
        <w:trPr>
          <w:trHeight w:val="315"/>
          <w:jc w:val="center"/>
        </w:trPr>
        <w:tc>
          <w:tcPr>
            <w:tcW w:w="3790" w:type="pct"/>
            <w:noWrap/>
            <w:vAlign w:val="bottom"/>
            <w:hideMark/>
          </w:tcPr>
          <w:p w14:paraId="75EE9F3A"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Temperature</w:t>
            </w:r>
          </w:p>
        </w:tc>
        <w:tc>
          <w:tcPr>
            <w:tcW w:w="775" w:type="pct"/>
            <w:noWrap/>
            <w:vAlign w:val="center"/>
            <w:hideMark/>
          </w:tcPr>
          <w:p w14:paraId="5E5F77C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0.036</w:t>
            </w:r>
          </w:p>
        </w:tc>
        <w:tc>
          <w:tcPr>
            <w:tcW w:w="435" w:type="pct"/>
            <w:noWrap/>
            <w:vAlign w:val="center"/>
            <w:hideMark/>
          </w:tcPr>
          <w:p w14:paraId="0F838D2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0.529</w:t>
            </w:r>
          </w:p>
        </w:tc>
      </w:tr>
      <w:tr w:rsidR="00C70B7C" w:rsidRPr="00C70B7C" w14:paraId="4B981027" w14:textId="77777777" w:rsidTr="00C70B7C">
        <w:trPr>
          <w:trHeight w:val="315"/>
          <w:jc w:val="center"/>
        </w:trPr>
        <w:tc>
          <w:tcPr>
            <w:tcW w:w="3790" w:type="pct"/>
            <w:noWrap/>
            <w:vAlign w:val="bottom"/>
            <w:hideMark/>
          </w:tcPr>
          <w:p w14:paraId="5622BE4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Hemoglobin</w:t>
            </w:r>
          </w:p>
        </w:tc>
        <w:tc>
          <w:tcPr>
            <w:tcW w:w="775" w:type="pct"/>
            <w:noWrap/>
            <w:vAlign w:val="center"/>
            <w:hideMark/>
          </w:tcPr>
          <w:p w14:paraId="0DEA9099"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-0.07</w:t>
            </w:r>
          </w:p>
        </w:tc>
        <w:tc>
          <w:tcPr>
            <w:tcW w:w="435" w:type="pct"/>
            <w:noWrap/>
            <w:vAlign w:val="center"/>
            <w:hideMark/>
          </w:tcPr>
          <w:p w14:paraId="7AB9F926"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0.218</w:t>
            </w:r>
          </w:p>
        </w:tc>
      </w:tr>
      <w:tr w:rsidR="00C70B7C" w:rsidRPr="00C70B7C" w14:paraId="4175FE31" w14:textId="77777777" w:rsidTr="00C70B7C">
        <w:trPr>
          <w:trHeight w:val="315"/>
          <w:jc w:val="center"/>
        </w:trPr>
        <w:tc>
          <w:tcPr>
            <w:tcW w:w="3790" w:type="pct"/>
            <w:noWrap/>
            <w:vAlign w:val="bottom"/>
            <w:hideMark/>
          </w:tcPr>
          <w:p w14:paraId="23B090FF"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Total Leukocyte Count</w:t>
            </w:r>
          </w:p>
        </w:tc>
        <w:tc>
          <w:tcPr>
            <w:tcW w:w="775" w:type="pct"/>
            <w:noWrap/>
            <w:vAlign w:val="center"/>
            <w:hideMark/>
          </w:tcPr>
          <w:p w14:paraId="47B73E8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0.102</w:t>
            </w:r>
          </w:p>
        </w:tc>
        <w:tc>
          <w:tcPr>
            <w:tcW w:w="435" w:type="pct"/>
            <w:noWrap/>
            <w:vAlign w:val="center"/>
            <w:hideMark/>
          </w:tcPr>
          <w:p w14:paraId="5BE6D49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0.071</w:t>
            </w:r>
          </w:p>
        </w:tc>
      </w:tr>
      <w:tr w:rsidR="00C70B7C" w:rsidRPr="00C70B7C" w14:paraId="36C88E44" w14:textId="77777777" w:rsidTr="00C70B7C">
        <w:trPr>
          <w:trHeight w:val="315"/>
          <w:jc w:val="center"/>
        </w:trPr>
        <w:tc>
          <w:tcPr>
            <w:tcW w:w="3790" w:type="pct"/>
            <w:noWrap/>
            <w:vAlign w:val="bottom"/>
            <w:hideMark/>
          </w:tcPr>
          <w:p w14:paraId="66A58221"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Platelets</w:t>
            </w:r>
          </w:p>
        </w:tc>
        <w:tc>
          <w:tcPr>
            <w:tcW w:w="775" w:type="pct"/>
            <w:noWrap/>
            <w:vAlign w:val="center"/>
            <w:hideMark/>
          </w:tcPr>
          <w:p w14:paraId="767E0E2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0.031</w:t>
            </w:r>
          </w:p>
        </w:tc>
        <w:tc>
          <w:tcPr>
            <w:tcW w:w="435" w:type="pct"/>
            <w:noWrap/>
            <w:vAlign w:val="center"/>
            <w:hideMark/>
          </w:tcPr>
          <w:p w14:paraId="5CF1795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0.584</w:t>
            </w:r>
          </w:p>
        </w:tc>
      </w:tr>
      <w:tr w:rsidR="00C70B7C" w:rsidRPr="00C70B7C" w14:paraId="7EA20275" w14:textId="77777777" w:rsidTr="00C70B7C">
        <w:trPr>
          <w:trHeight w:val="315"/>
          <w:jc w:val="center"/>
        </w:trPr>
        <w:tc>
          <w:tcPr>
            <w:tcW w:w="3790" w:type="pct"/>
            <w:noWrap/>
            <w:vAlign w:val="bottom"/>
            <w:hideMark/>
          </w:tcPr>
          <w:p w14:paraId="47069F1E"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Urea</w:t>
            </w:r>
          </w:p>
        </w:tc>
        <w:tc>
          <w:tcPr>
            <w:tcW w:w="775" w:type="pct"/>
            <w:noWrap/>
            <w:vAlign w:val="center"/>
            <w:hideMark/>
          </w:tcPr>
          <w:p w14:paraId="641328A0"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0.107</w:t>
            </w:r>
          </w:p>
        </w:tc>
        <w:tc>
          <w:tcPr>
            <w:tcW w:w="435" w:type="pct"/>
            <w:noWrap/>
            <w:vAlign w:val="center"/>
            <w:hideMark/>
          </w:tcPr>
          <w:p w14:paraId="4E0A5D16"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0.059</w:t>
            </w:r>
          </w:p>
        </w:tc>
      </w:tr>
      <w:tr w:rsidR="00C70B7C" w:rsidRPr="00C70B7C" w14:paraId="2F5C6845" w14:textId="77777777" w:rsidTr="00C70B7C">
        <w:trPr>
          <w:trHeight w:val="315"/>
          <w:jc w:val="center"/>
        </w:trPr>
        <w:tc>
          <w:tcPr>
            <w:tcW w:w="3790" w:type="pct"/>
            <w:noWrap/>
            <w:vAlign w:val="bottom"/>
            <w:hideMark/>
          </w:tcPr>
          <w:p w14:paraId="2845512B"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Creatinine</w:t>
            </w:r>
          </w:p>
        </w:tc>
        <w:tc>
          <w:tcPr>
            <w:tcW w:w="775" w:type="pct"/>
            <w:noWrap/>
            <w:vAlign w:val="center"/>
            <w:hideMark/>
          </w:tcPr>
          <w:p w14:paraId="0647B27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0.01</w:t>
            </w:r>
          </w:p>
        </w:tc>
        <w:tc>
          <w:tcPr>
            <w:tcW w:w="435" w:type="pct"/>
            <w:noWrap/>
            <w:vAlign w:val="center"/>
            <w:hideMark/>
          </w:tcPr>
          <w:p w14:paraId="079662E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0.855</w:t>
            </w:r>
          </w:p>
        </w:tc>
      </w:tr>
      <w:tr w:rsidR="00C70B7C" w:rsidRPr="00C70B7C" w14:paraId="7585DF69" w14:textId="77777777" w:rsidTr="00C70B7C">
        <w:trPr>
          <w:trHeight w:val="315"/>
          <w:jc w:val="center"/>
        </w:trPr>
        <w:tc>
          <w:tcPr>
            <w:tcW w:w="3790" w:type="pct"/>
            <w:noWrap/>
            <w:vAlign w:val="bottom"/>
            <w:hideMark/>
          </w:tcPr>
          <w:p w14:paraId="0718F5B0"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Alanine Aminotransferase</w:t>
            </w:r>
          </w:p>
        </w:tc>
        <w:tc>
          <w:tcPr>
            <w:tcW w:w="775" w:type="pct"/>
            <w:noWrap/>
            <w:vAlign w:val="center"/>
            <w:hideMark/>
          </w:tcPr>
          <w:p w14:paraId="6396138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-0.012</w:t>
            </w:r>
          </w:p>
        </w:tc>
        <w:tc>
          <w:tcPr>
            <w:tcW w:w="435" w:type="pct"/>
            <w:noWrap/>
            <w:vAlign w:val="center"/>
            <w:hideMark/>
          </w:tcPr>
          <w:p w14:paraId="0F7779B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0.831</w:t>
            </w:r>
          </w:p>
        </w:tc>
      </w:tr>
      <w:tr w:rsidR="00C70B7C" w:rsidRPr="00C70B7C" w14:paraId="242A24BF" w14:textId="77777777" w:rsidTr="00C70B7C">
        <w:trPr>
          <w:trHeight w:val="315"/>
          <w:jc w:val="center"/>
        </w:trPr>
        <w:tc>
          <w:tcPr>
            <w:tcW w:w="3790" w:type="pct"/>
            <w:noWrap/>
            <w:vAlign w:val="bottom"/>
            <w:hideMark/>
          </w:tcPr>
          <w:p w14:paraId="2BD8AF3D"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Aspartate Aminotransferase</w:t>
            </w:r>
          </w:p>
        </w:tc>
        <w:tc>
          <w:tcPr>
            <w:tcW w:w="775" w:type="pct"/>
            <w:noWrap/>
            <w:vAlign w:val="center"/>
            <w:hideMark/>
          </w:tcPr>
          <w:p w14:paraId="32C786CF"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0.061</w:t>
            </w:r>
          </w:p>
        </w:tc>
        <w:tc>
          <w:tcPr>
            <w:tcW w:w="435" w:type="pct"/>
            <w:noWrap/>
            <w:vAlign w:val="center"/>
            <w:hideMark/>
          </w:tcPr>
          <w:p w14:paraId="2B8B904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0.279</w:t>
            </w:r>
          </w:p>
        </w:tc>
      </w:tr>
      <w:tr w:rsidR="00C70B7C" w:rsidRPr="00C70B7C" w14:paraId="391CFC30" w14:textId="77777777" w:rsidTr="00C70B7C">
        <w:trPr>
          <w:trHeight w:val="315"/>
          <w:jc w:val="center"/>
        </w:trPr>
        <w:tc>
          <w:tcPr>
            <w:tcW w:w="3790" w:type="pct"/>
            <w:noWrap/>
            <w:vAlign w:val="bottom"/>
            <w:hideMark/>
          </w:tcPr>
          <w:p w14:paraId="7FD07505"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Ejection Fraction%</w:t>
            </w:r>
          </w:p>
        </w:tc>
        <w:tc>
          <w:tcPr>
            <w:tcW w:w="775" w:type="pct"/>
            <w:noWrap/>
            <w:vAlign w:val="center"/>
            <w:hideMark/>
          </w:tcPr>
          <w:p w14:paraId="7B26458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-0.401</w:t>
            </w:r>
          </w:p>
        </w:tc>
        <w:tc>
          <w:tcPr>
            <w:tcW w:w="435" w:type="pct"/>
            <w:noWrap/>
            <w:vAlign w:val="center"/>
            <w:hideMark/>
          </w:tcPr>
          <w:p w14:paraId="0645A6CF"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r w:rsidR="00C70B7C" w:rsidRPr="00C70B7C" w14:paraId="32E09547" w14:textId="77777777" w:rsidTr="00C70B7C">
        <w:trPr>
          <w:trHeight w:val="315"/>
          <w:jc w:val="center"/>
        </w:trPr>
        <w:tc>
          <w:tcPr>
            <w:tcW w:w="3790" w:type="pct"/>
            <w:noWrap/>
            <w:vAlign w:val="bottom"/>
            <w:hideMark/>
          </w:tcPr>
          <w:p w14:paraId="28037EA0"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End-Diastolic Volume</w:t>
            </w:r>
          </w:p>
        </w:tc>
        <w:tc>
          <w:tcPr>
            <w:tcW w:w="775" w:type="pct"/>
            <w:noWrap/>
            <w:vAlign w:val="center"/>
            <w:hideMark/>
          </w:tcPr>
          <w:p w14:paraId="291D9B0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0.297</w:t>
            </w:r>
          </w:p>
        </w:tc>
        <w:tc>
          <w:tcPr>
            <w:tcW w:w="435" w:type="pct"/>
            <w:noWrap/>
            <w:vAlign w:val="center"/>
            <w:hideMark/>
          </w:tcPr>
          <w:p w14:paraId="6FD0A89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r w:rsidR="00C70B7C" w:rsidRPr="00C70B7C" w14:paraId="4C975379" w14:textId="77777777" w:rsidTr="00C70B7C">
        <w:trPr>
          <w:trHeight w:val="315"/>
          <w:jc w:val="center"/>
        </w:trPr>
        <w:tc>
          <w:tcPr>
            <w:tcW w:w="3790" w:type="pct"/>
            <w:noWrap/>
            <w:vAlign w:val="bottom"/>
            <w:hideMark/>
          </w:tcPr>
          <w:p w14:paraId="6CCB9856"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End-Systolic Volume</w:t>
            </w:r>
          </w:p>
        </w:tc>
        <w:tc>
          <w:tcPr>
            <w:tcW w:w="775" w:type="pct"/>
            <w:noWrap/>
            <w:vAlign w:val="center"/>
            <w:hideMark/>
          </w:tcPr>
          <w:p w14:paraId="59A0096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0.319</w:t>
            </w:r>
          </w:p>
        </w:tc>
        <w:tc>
          <w:tcPr>
            <w:tcW w:w="435" w:type="pct"/>
            <w:noWrap/>
            <w:vAlign w:val="center"/>
            <w:hideMark/>
          </w:tcPr>
          <w:p w14:paraId="6B94F56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r w:rsidR="00C70B7C" w:rsidRPr="00C70B7C" w14:paraId="55D8975F" w14:textId="77777777" w:rsidTr="00C70B7C">
        <w:trPr>
          <w:trHeight w:val="315"/>
          <w:jc w:val="center"/>
        </w:trPr>
        <w:tc>
          <w:tcPr>
            <w:tcW w:w="3790" w:type="pct"/>
            <w:noWrap/>
            <w:vAlign w:val="bottom"/>
            <w:hideMark/>
          </w:tcPr>
          <w:p w14:paraId="646A27E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Speckle Tracking Echocardiography 3D Ejection Fraction</w:t>
            </w:r>
          </w:p>
        </w:tc>
        <w:tc>
          <w:tcPr>
            <w:tcW w:w="775" w:type="pct"/>
            <w:noWrap/>
            <w:vAlign w:val="center"/>
            <w:hideMark/>
          </w:tcPr>
          <w:p w14:paraId="578934FC"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-0.445</w:t>
            </w:r>
          </w:p>
        </w:tc>
        <w:tc>
          <w:tcPr>
            <w:tcW w:w="435" w:type="pct"/>
            <w:noWrap/>
            <w:vAlign w:val="center"/>
            <w:hideMark/>
          </w:tcPr>
          <w:p w14:paraId="45C29B9C"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r w:rsidR="00C70B7C" w:rsidRPr="00C70B7C" w14:paraId="5991AABA" w14:textId="77777777" w:rsidTr="00C70B7C">
        <w:trPr>
          <w:trHeight w:val="315"/>
          <w:jc w:val="center"/>
        </w:trPr>
        <w:tc>
          <w:tcPr>
            <w:tcW w:w="3790" w:type="pct"/>
            <w:noWrap/>
            <w:vAlign w:val="bottom"/>
            <w:hideMark/>
          </w:tcPr>
          <w:p w14:paraId="71340055"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Global Longitudinal Strain</w:t>
            </w:r>
          </w:p>
        </w:tc>
        <w:tc>
          <w:tcPr>
            <w:tcW w:w="775" w:type="pct"/>
            <w:noWrap/>
            <w:vAlign w:val="center"/>
            <w:hideMark/>
          </w:tcPr>
          <w:p w14:paraId="72FDC180"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-0.673</w:t>
            </w:r>
          </w:p>
        </w:tc>
        <w:tc>
          <w:tcPr>
            <w:tcW w:w="435" w:type="pct"/>
            <w:noWrap/>
            <w:vAlign w:val="center"/>
            <w:hideMark/>
          </w:tcPr>
          <w:p w14:paraId="0BF538D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bl>
    <w:p w14:paraId="444F84A0" w14:textId="77777777" w:rsidR="00AE0505" w:rsidRPr="00C70B7C" w:rsidRDefault="0086027F" w:rsidP="00C70B7C">
      <w:pPr>
        <w:pStyle w:val="F-note"/>
        <w:spacing w:before="120" w:after="240" w:line="360" w:lineRule="auto"/>
        <w:jc w:val="center"/>
        <w:rPr>
          <w:rFonts w:asciiTheme="majorBidi" w:hAnsiTheme="majorBidi" w:cstheme="majorBidi"/>
          <w:b/>
          <w:bCs/>
          <w:sz w:val="18"/>
          <w:szCs w:val="18"/>
        </w:rPr>
      </w:pPr>
      <w:r w:rsidRPr="00C70B7C">
        <w:rPr>
          <w:rFonts w:asciiTheme="majorBidi" w:hAnsiTheme="majorBidi" w:cstheme="majorBidi"/>
          <w:b/>
          <w:bCs/>
          <w:sz w:val="18"/>
          <w:szCs w:val="18"/>
        </w:rPr>
        <w:t>TyG Index: Triglyceride-Glucose Index. *P&lt;0.05 is considered statistically significant.</w:t>
      </w:r>
    </w:p>
    <w:p w14:paraId="399FCCE9" w14:textId="77777777" w:rsidR="00AE0505" w:rsidRPr="00C70B7C" w:rsidRDefault="00AE0505" w:rsidP="00C70B7C">
      <w:pPr>
        <w:pStyle w:val="P"/>
        <w:spacing w:before="120" w:after="240" w:line="360" w:lineRule="auto"/>
        <w:jc w:val="both"/>
        <w:rPr>
          <w:rFonts w:asciiTheme="majorBidi" w:hAnsiTheme="majorBidi" w:cstheme="majorBidi"/>
          <w:lang w:val="en-GB"/>
        </w:rPr>
      </w:pPr>
    </w:p>
    <w:p w14:paraId="4284D7DE" w14:textId="77777777" w:rsidR="00AE0505" w:rsidRPr="00C70B7C" w:rsidRDefault="00AE0505" w:rsidP="00C70B7C">
      <w:pPr>
        <w:pStyle w:val="P"/>
        <w:spacing w:before="120" w:after="240" w:line="360" w:lineRule="auto"/>
        <w:jc w:val="both"/>
        <w:rPr>
          <w:rFonts w:asciiTheme="majorBidi" w:hAnsiTheme="majorBidi" w:cstheme="majorBidi"/>
          <w:lang w:val="en-GB"/>
        </w:rPr>
      </w:pPr>
    </w:p>
    <w:p w14:paraId="7D5A3596" w14:textId="77777777" w:rsidR="00DD4EFA" w:rsidRPr="00C70B7C" w:rsidRDefault="00DD4EFA" w:rsidP="00C70B7C">
      <w:pPr>
        <w:spacing w:before="120" w:after="240" w:line="360" w:lineRule="auto"/>
        <w:jc w:val="both"/>
        <w:rPr>
          <w:rFonts w:asciiTheme="majorBidi" w:eastAsia="Times New Roman" w:hAnsiTheme="majorBidi" w:cstheme="majorBidi"/>
          <w:b/>
          <w:bCs/>
          <w:sz w:val="24"/>
          <w:szCs w:val="24"/>
          <w:lang w:eastAsia="zh-CN"/>
        </w:rPr>
      </w:pPr>
      <w:r w:rsidRPr="00C70B7C">
        <w:rPr>
          <w:rFonts w:asciiTheme="majorBidi" w:hAnsiTheme="majorBidi" w:cstheme="majorBidi"/>
          <w:sz w:val="24"/>
          <w:szCs w:val="24"/>
        </w:rPr>
        <w:br w:type="page"/>
      </w:r>
    </w:p>
    <w:p w14:paraId="08C6C8D0" w14:textId="77777777" w:rsidR="00AE0505" w:rsidRPr="00C70B7C" w:rsidRDefault="0086027F" w:rsidP="00C70B7C">
      <w:pPr>
        <w:pStyle w:val="Head"/>
        <w:numPr>
          <w:ilvl w:val="0"/>
          <w:numId w:val="0"/>
        </w:numPr>
        <w:spacing w:before="120" w:after="240"/>
        <w:rPr>
          <w:rFonts w:asciiTheme="majorBidi" w:hAnsiTheme="majorBidi" w:cstheme="majorBidi"/>
          <w:sz w:val="24"/>
          <w:szCs w:val="24"/>
        </w:rPr>
      </w:pPr>
      <w:r w:rsidRPr="00C70B7C">
        <w:rPr>
          <w:rFonts w:asciiTheme="majorBidi" w:hAnsiTheme="majorBidi" w:cstheme="majorBidi"/>
          <w:sz w:val="24"/>
          <w:szCs w:val="24"/>
        </w:rPr>
        <w:lastRenderedPageBreak/>
        <w:t xml:space="preserve">Table 3: Echocardiographic findings and </w:t>
      </w:r>
      <w:r w:rsidRPr="00C70B7C">
        <w:rPr>
          <w:rFonts w:asciiTheme="majorBidi" w:eastAsia="Aptos" w:hAnsiTheme="majorBidi" w:cstheme="majorBidi"/>
          <w:sz w:val="24"/>
          <w:szCs w:val="24"/>
        </w:rPr>
        <w:t xml:space="preserve">endpoints </w:t>
      </w:r>
      <w:r w:rsidRPr="00C70B7C">
        <w:rPr>
          <w:rFonts w:asciiTheme="majorBidi" w:hAnsiTheme="majorBidi" w:cstheme="majorBidi"/>
          <w:sz w:val="24"/>
          <w:szCs w:val="24"/>
        </w:rPr>
        <w:t>according to TyG index.</w:t>
      </w:r>
    </w:p>
    <w:tbl>
      <w:tblPr>
        <w:tblW w:w="4195" w:type="pct"/>
        <w:jc w:val="center"/>
        <w:tblLook w:val="04A0" w:firstRow="1" w:lastRow="0" w:firstColumn="1" w:lastColumn="0" w:noHBand="0" w:noVBand="1"/>
      </w:tblPr>
      <w:tblGrid>
        <w:gridCol w:w="3863"/>
        <w:gridCol w:w="1733"/>
        <w:gridCol w:w="1678"/>
        <w:gridCol w:w="1013"/>
      </w:tblGrid>
      <w:tr w:rsidR="00AE0505" w:rsidRPr="00C70B7C" w14:paraId="4DE402FF" w14:textId="77777777" w:rsidTr="00C70B7C">
        <w:trPr>
          <w:trHeight w:val="315"/>
          <w:jc w:val="center"/>
        </w:trPr>
        <w:tc>
          <w:tcPr>
            <w:tcW w:w="2188" w:type="pct"/>
            <w:tcBorders>
              <w:top w:val="single" w:sz="4" w:space="0" w:color="auto"/>
              <w:bottom w:val="single" w:sz="4" w:space="0" w:color="auto"/>
            </w:tcBorders>
            <w:noWrap/>
            <w:vAlign w:val="bottom"/>
          </w:tcPr>
          <w:p w14:paraId="4D1276DA"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2161" w:type="pct"/>
            <w:gridSpan w:val="2"/>
            <w:tcBorders>
              <w:top w:val="single" w:sz="4" w:space="0" w:color="auto"/>
              <w:bottom w:val="single" w:sz="4" w:space="0" w:color="auto"/>
            </w:tcBorders>
            <w:noWrap/>
            <w:vAlign w:val="bottom"/>
          </w:tcPr>
          <w:p w14:paraId="5866783D" w14:textId="77777777" w:rsidR="00AE0505" w:rsidRPr="00C70B7C" w:rsidRDefault="0086027F" w:rsidP="00C70B7C">
            <w:pPr>
              <w:spacing w:after="0" w:line="240" w:lineRule="auto"/>
              <w:jc w:val="center"/>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TyG Index</w:t>
            </w:r>
          </w:p>
        </w:tc>
        <w:tc>
          <w:tcPr>
            <w:tcW w:w="651" w:type="pct"/>
            <w:vMerge w:val="restart"/>
            <w:tcBorders>
              <w:top w:val="single" w:sz="4" w:space="0" w:color="auto"/>
              <w:bottom w:val="single" w:sz="4" w:space="0" w:color="auto"/>
            </w:tcBorders>
            <w:noWrap/>
            <w:vAlign w:val="center"/>
          </w:tcPr>
          <w:p w14:paraId="6E1F9D57" w14:textId="77777777" w:rsidR="00AE0505" w:rsidRPr="00C70B7C" w:rsidRDefault="0086027F" w:rsidP="00BC40D3">
            <w:pPr>
              <w:spacing w:after="0" w:line="240" w:lineRule="auto"/>
              <w:jc w:val="center"/>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w:t>
            </w:r>
          </w:p>
        </w:tc>
      </w:tr>
      <w:tr w:rsidR="00AE0505" w:rsidRPr="00C70B7C" w14:paraId="22BA3D62" w14:textId="77777777" w:rsidTr="00C70B7C">
        <w:trPr>
          <w:trHeight w:val="315"/>
          <w:jc w:val="center"/>
        </w:trPr>
        <w:tc>
          <w:tcPr>
            <w:tcW w:w="2188" w:type="pct"/>
            <w:tcBorders>
              <w:top w:val="single" w:sz="4" w:space="0" w:color="auto"/>
              <w:bottom w:val="single" w:sz="4" w:space="0" w:color="auto"/>
            </w:tcBorders>
            <w:noWrap/>
            <w:vAlign w:val="bottom"/>
            <w:hideMark/>
          </w:tcPr>
          <w:p w14:paraId="3F53DC29"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1082" w:type="pct"/>
            <w:tcBorders>
              <w:top w:val="single" w:sz="4" w:space="0" w:color="auto"/>
              <w:bottom w:val="single" w:sz="4" w:space="0" w:color="auto"/>
            </w:tcBorders>
            <w:noWrap/>
            <w:vAlign w:val="bottom"/>
            <w:hideMark/>
          </w:tcPr>
          <w:p w14:paraId="0F31DD79"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 8.47 (n=147)</w:t>
            </w:r>
          </w:p>
        </w:tc>
        <w:tc>
          <w:tcPr>
            <w:tcW w:w="1079" w:type="pct"/>
            <w:tcBorders>
              <w:top w:val="single" w:sz="4" w:space="0" w:color="auto"/>
              <w:bottom w:val="single" w:sz="4" w:space="0" w:color="auto"/>
            </w:tcBorders>
            <w:noWrap/>
            <w:vAlign w:val="bottom"/>
            <w:hideMark/>
          </w:tcPr>
          <w:p w14:paraId="070A36DD"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 8.47 (n=168)</w:t>
            </w:r>
          </w:p>
        </w:tc>
        <w:tc>
          <w:tcPr>
            <w:tcW w:w="651" w:type="pct"/>
            <w:vMerge/>
            <w:tcBorders>
              <w:top w:val="single" w:sz="4" w:space="0" w:color="auto"/>
              <w:bottom w:val="single" w:sz="4" w:space="0" w:color="auto"/>
            </w:tcBorders>
            <w:noWrap/>
            <w:vAlign w:val="center"/>
            <w:hideMark/>
          </w:tcPr>
          <w:p w14:paraId="2DE76FD6" w14:textId="77777777" w:rsidR="00AE0505" w:rsidRPr="00C70B7C" w:rsidRDefault="00AE0505" w:rsidP="00C70B7C">
            <w:pPr>
              <w:spacing w:after="0" w:line="240" w:lineRule="auto"/>
              <w:jc w:val="both"/>
              <w:rPr>
                <w:rFonts w:asciiTheme="majorBidi" w:eastAsia="Times New Roman" w:hAnsiTheme="majorBidi" w:cstheme="majorBidi"/>
                <w:b/>
                <w:bCs/>
                <w:sz w:val="24"/>
                <w:szCs w:val="24"/>
              </w:rPr>
            </w:pPr>
          </w:p>
        </w:tc>
      </w:tr>
      <w:tr w:rsidR="00AE0505" w:rsidRPr="00C70B7C" w14:paraId="219F2272" w14:textId="77777777" w:rsidTr="00C70B7C">
        <w:trPr>
          <w:trHeight w:val="315"/>
          <w:jc w:val="center"/>
        </w:trPr>
        <w:tc>
          <w:tcPr>
            <w:tcW w:w="2188" w:type="pct"/>
            <w:tcBorders>
              <w:top w:val="single" w:sz="4" w:space="0" w:color="auto"/>
            </w:tcBorders>
            <w:noWrap/>
            <w:vAlign w:val="bottom"/>
            <w:hideMark/>
          </w:tcPr>
          <w:p w14:paraId="5DD1ADDE"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Ejection Fraction%</w:t>
            </w:r>
          </w:p>
        </w:tc>
        <w:tc>
          <w:tcPr>
            <w:tcW w:w="1082" w:type="pct"/>
            <w:tcBorders>
              <w:top w:val="single" w:sz="4" w:space="0" w:color="auto"/>
            </w:tcBorders>
            <w:noWrap/>
            <w:vAlign w:val="center"/>
            <w:hideMark/>
          </w:tcPr>
          <w:p w14:paraId="5008129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57 ±8</w:t>
            </w:r>
          </w:p>
        </w:tc>
        <w:tc>
          <w:tcPr>
            <w:tcW w:w="1079" w:type="pct"/>
            <w:tcBorders>
              <w:top w:val="single" w:sz="4" w:space="0" w:color="auto"/>
            </w:tcBorders>
            <w:noWrap/>
            <w:vAlign w:val="center"/>
            <w:hideMark/>
          </w:tcPr>
          <w:p w14:paraId="60BED94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51 ±11</w:t>
            </w:r>
          </w:p>
        </w:tc>
        <w:tc>
          <w:tcPr>
            <w:tcW w:w="651" w:type="pct"/>
            <w:tcBorders>
              <w:top w:val="single" w:sz="4" w:space="0" w:color="auto"/>
            </w:tcBorders>
            <w:noWrap/>
            <w:vAlign w:val="center"/>
            <w:hideMark/>
          </w:tcPr>
          <w:p w14:paraId="14A1E371"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r w:rsidR="00AE0505" w:rsidRPr="00C70B7C" w14:paraId="1CB0D4DB" w14:textId="77777777" w:rsidTr="00C70B7C">
        <w:trPr>
          <w:trHeight w:val="315"/>
          <w:jc w:val="center"/>
        </w:trPr>
        <w:tc>
          <w:tcPr>
            <w:tcW w:w="2188" w:type="pct"/>
            <w:noWrap/>
            <w:vAlign w:val="bottom"/>
            <w:hideMark/>
          </w:tcPr>
          <w:p w14:paraId="70F9325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Regional Wall Motion Abnormality</w:t>
            </w:r>
          </w:p>
        </w:tc>
        <w:tc>
          <w:tcPr>
            <w:tcW w:w="1082" w:type="pct"/>
            <w:noWrap/>
            <w:vAlign w:val="center"/>
            <w:hideMark/>
          </w:tcPr>
          <w:p w14:paraId="230C7BD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112 (76.2)</w:t>
            </w:r>
          </w:p>
        </w:tc>
        <w:tc>
          <w:tcPr>
            <w:tcW w:w="1079" w:type="pct"/>
            <w:noWrap/>
            <w:vAlign w:val="center"/>
            <w:hideMark/>
          </w:tcPr>
          <w:p w14:paraId="30F87B5E"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137 (81.5)</w:t>
            </w:r>
          </w:p>
        </w:tc>
        <w:tc>
          <w:tcPr>
            <w:tcW w:w="651" w:type="pct"/>
            <w:noWrap/>
            <w:vAlign w:val="bottom"/>
            <w:hideMark/>
          </w:tcPr>
          <w:p w14:paraId="47A193D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0.244</w:t>
            </w:r>
          </w:p>
        </w:tc>
      </w:tr>
      <w:tr w:rsidR="00AE0505" w:rsidRPr="00C70B7C" w14:paraId="0E2C07AF" w14:textId="77777777" w:rsidTr="00C70B7C">
        <w:trPr>
          <w:trHeight w:val="315"/>
          <w:jc w:val="center"/>
        </w:trPr>
        <w:tc>
          <w:tcPr>
            <w:tcW w:w="2188" w:type="pct"/>
            <w:noWrap/>
            <w:vAlign w:val="bottom"/>
            <w:hideMark/>
          </w:tcPr>
          <w:p w14:paraId="46E288CF"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Mitral Regurgitation</w:t>
            </w:r>
          </w:p>
        </w:tc>
        <w:tc>
          <w:tcPr>
            <w:tcW w:w="1082" w:type="pct"/>
            <w:noWrap/>
            <w:vAlign w:val="bottom"/>
            <w:hideMark/>
          </w:tcPr>
          <w:p w14:paraId="7BA75053"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1079" w:type="pct"/>
            <w:noWrap/>
            <w:vAlign w:val="bottom"/>
            <w:hideMark/>
          </w:tcPr>
          <w:p w14:paraId="5CC18C44"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651" w:type="pct"/>
            <w:noWrap/>
            <w:vAlign w:val="bottom"/>
            <w:hideMark/>
          </w:tcPr>
          <w:p w14:paraId="082F0052"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r>
      <w:tr w:rsidR="00AE0505" w:rsidRPr="00C70B7C" w14:paraId="01D1B0F5" w14:textId="77777777" w:rsidTr="00C70B7C">
        <w:trPr>
          <w:trHeight w:val="315"/>
          <w:jc w:val="center"/>
        </w:trPr>
        <w:tc>
          <w:tcPr>
            <w:tcW w:w="2188" w:type="pct"/>
            <w:noWrap/>
            <w:vAlign w:val="bottom"/>
            <w:hideMark/>
          </w:tcPr>
          <w:p w14:paraId="4A2F7966"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No</w:t>
            </w:r>
          </w:p>
        </w:tc>
        <w:tc>
          <w:tcPr>
            <w:tcW w:w="1082" w:type="pct"/>
            <w:noWrap/>
            <w:vAlign w:val="center"/>
            <w:hideMark/>
          </w:tcPr>
          <w:p w14:paraId="1A511A1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51 (34.7)</w:t>
            </w:r>
          </w:p>
        </w:tc>
        <w:tc>
          <w:tcPr>
            <w:tcW w:w="1079" w:type="pct"/>
            <w:noWrap/>
            <w:vAlign w:val="center"/>
            <w:hideMark/>
          </w:tcPr>
          <w:p w14:paraId="3461DA1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48 (28.6)</w:t>
            </w:r>
          </w:p>
        </w:tc>
        <w:tc>
          <w:tcPr>
            <w:tcW w:w="651" w:type="pct"/>
            <w:vMerge w:val="restart"/>
            <w:noWrap/>
            <w:vAlign w:val="center"/>
            <w:hideMark/>
          </w:tcPr>
          <w:p w14:paraId="28F95F8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0.629</w:t>
            </w:r>
          </w:p>
        </w:tc>
      </w:tr>
      <w:tr w:rsidR="00AE0505" w:rsidRPr="00C70B7C" w14:paraId="71C80803" w14:textId="77777777" w:rsidTr="00C70B7C">
        <w:trPr>
          <w:trHeight w:val="315"/>
          <w:jc w:val="center"/>
        </w:trPr>
        <w:tc>
          <w:tcPr>
            <w:tcW w:w="2188" w:type="pct"/>
            <w:noWrap/>
            <w:vAlign w:val="bottom"/>
            <w:hideMark/>
          </w:tcPr>
          <w:p w14:paraId="647E595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Mild</w:t>
            </w:r>
          </w:p>
        </w:tc>
        <w:tc>
          <w:tcPr>
            <w:tcW w:w="1082" w:type="pct"/>
            <w:noWrap/>
            <w:vAlign w:val="center"/>
            <w:hideMark/>
          </w:tcPr>
          <w:p w14:paraId="5E36D44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68 (46.3)</w:t>
            </w:r>
          </w:p>
        </w:tc>
        <w:tc>
          <w:tcPr>
            <w:tcW w:w="1079" w:type="pct"/>
            <w:noWrap/>
            <w:vAlign w:val="center"/>
            <w:hideMark/>
          </w:tcPr>
          <w:p w14:paraId="787B4917"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81 (48.2)</w:t>
            </w:r>
          </w:p>
        </w:tc>
        <w:tc>
          <w:tcPr>
            <w:tcW w:w="651" w:type="pct"/>
            <w:vMerge/>
            <w:vAlign w:val="center"/>
            <w:hideMark/>
          </w:tcPr>
          <w:p w14:paraId="2CAFDD42"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r>
      <w:tr w:rsidR="00AE0505" w:rsidRPr="00C70B7C" w14:paraId="58968F7A" w14:textId="77777777" w:rsidTr="00C70B7C">
        <w:trPr>
          <w:trHeight w:val="315"/>
          <w:jc w:val="center"/>
        </w:trPr>
        <w:tc>
          <w:tcPr>
            <w:tcW w:w="2188" w:type="pct"/>
            <w:noWrap/>
            <w:vAlign w:val="bottom"/>
            <w:hideMark/>
          </w:tcPr>
          <w:p w14:paraId="21E84F8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Moderate</w:t>
            </w:r>
          </w:p>
        </w:tc>
        <w:tc>
          <w:tcPr>
            <w:tcW w:w="1082" w:type="pct"/>
            <w:noWrap/>
            <w:vAlign w:val="center"/>
            <w:hideMark/>
          </w:tcPr>
          <w:p w14:paraId="683FD25F"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19 (12.9)</w:t>
            </w:r>
          </w:p>
        </w:tc>
        <w:tc>
          <w:tcPr>
            <w:tcW w:w="1079" w:type="pct"/>
            <w:noWrap/>
            <w:vAlign w:val="center"/>
            <w:hideMark/>
          </w:tcPr>
          <w:p w14:paraId="737668AA"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25 (14.9)</w:t>
            </w:r>
          </w:p>
        </w:tc>
        <w:tc>
          <w:tcPr>
            <w:tcW w:w="651" w:type="pct"/>
            <w:vMerge/>
            <w:vAlign w:val="center"/>
            <w:hideMark/>
          </w:tcPr>
          <w:p w14:paraId="209A4004"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r>
      <w:tr w:rsidR="00AE0505" w:rsidRPr="00C70B7C" w14:paraId="4599D7FA" w14:textId="77777777" w:rsidTr="00C70B7C">
        <w:trPr>
          <w:trHeight w:val="315"/>
          <w:jc w:val="center"/>
        </w:trPr>
        <w:tc>
          <w:tcPr>
            <w:tcW w:w="2188" w:type="pct"/>
            <w:noWrap/>
            <w:vAlign w:val="bottom"/>
            <w:hideMark/>
          </w:tcPr>
          <w:p w14:paraId="230B13B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Severe</w:t>
            </w:r>
          </w:p>
        </w:tc>
        <w:tc>
          <w:tcPr>
            <w:tcW w:w="1082" w:type="pct"/>
            <w:noWrap/>
            <w:vAlign w:val="center"/>
            <w:hideMark/>
          </w:tcPr>
          <w:p w14:paraId="7B00FA0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9 (6.1)</w:t>
            </w:r>
          </w:p>
        </w:tc>
        <w:tc>
          <w:tcPr>
            <w:tcW w:w="1079" w:type="pct"/>
            <w:noWrap/>
            <w:vAlign w:val="center"/>
            <w:hideMark/>
          </w:tcPr>
          <w:p w14:paraId="6F84932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14 (8.3)</w:t>
            </w:r>
          </w:p>
        </w:tc>
        <w:tc>
          <w:tcPr>
            <w:tcW w:w="651" w:type="pct"/>
            <w:vMerge/>
            <w:vAlign w:val="center"/>
            <w:hideMark/>
          </w:tcPr>
          <w:p w14:paraId="4C0DB9B3"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r>
      <w:tr w:rsidR="00AE0505" w:rsidRPr="00C70B7C" w14:paraId="5CDA97E0" w14:textId="77777777" w:rsidTr="00C70B7C">
        <w:trPr>
          <w:trHeight w:val="315"/>
          <w:jc w:val="center"/>
        </w:trPr>
        <w:tc>
          <w:tcPr>
            <w:tcW w:w="2188" w:type="pct"/>
            <w:noWrap/>
            <w:vAlign w:val="bottom"/>
            <w:hideMark/>
          </w:tcPr>
          <w:p w14:paraId="39FF646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End-Diastolic Volume</w:t>
            </w:r>
          </w:p>
        </w:tc>
        <w:tc>
          <w:tcPr>
            <w:tcW w:w="1082" w:type="pct"/>
            <w:noWrap/>
            <w:vAlign w:val="center"/>
            <w:hideMark/>
          </w:tcPr>
          <w:p w14:paraId="15BB309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4.9 ±0.68</w:t>
            </w:r>
          </w:p>
        </w:tc>
        <w:tc>
          <w:tcPr>
            <w:tcW w:w="1079" w:type="pct"/>
            <w:noWrap/>
            <w:vAlign w:val="center"/>
            <w:hideMark/>
          </w:tcPr>
          <w:p w14:paraId="4944BA2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5.17 ±0.82</w:t>
            </w:r>
          </w:p>
        </w:tc>
        <w:tc>
          <w:tcPr>
            <w:tcW w:w="651" w:type="pct"/>
            <w:noWrap/>
            <w:vAlign w:val="bottom"/>
            <w:hideMark/>
          </w:tcPr>
          <w:p w14:paraId="6CA6FA3B"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0.001*</w:t>
            </w:r>
          </w:p>
        </w:tc>
      </w:tr>
      <w:tr w:rsidR="00AE0505" w:rsidRPr="00C70B7C" w14:paraId="1EBE72D2" w14:textId="77777777" w:rsidTr="00C70B7C">
        <w:trPr>
          <w:trHeight w:val="315"/>
          <w:jc w:val="center"/>
        </w:trPr>
        <w:tc>
          <w:tcPr>
            <w:tcW w:w="2188" w:type="pct"/>
            <w:noWrap/>
            <w:vAlign w:val="bottom"/>
            <w:hideMark/>
          </w:tcPr>
          <w:p w14:paraId="490162B0"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End-Systolic Volume</w:t>
            </w:r>
          </w:p>
        </w:tc>
        <w:tc>
          <w:tcPr>
            <w:tcW w:w="1082" w:type="pct"/>
            <w:noWrap/>
            <w:vAlign w:val="center"/>
            <w:hideMark/>
          </w:tcPr>
          <w:p w14:paraId="5533CC8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3.57 ±0.73</w:t>
            </w:r>
          </w:p>
        </w:tc>
        <w:tc>
          <w:tcPr>
            <w:tcW w:w="1079" w:type="pct"/>
            <w:noWrap/>
            <w:vAlign w:val="center"/>
            <w:hideMark/>
          </w:tcPr>
          <w:p w14:paraId="3F39778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3.9 ±0.83</w:t>
            </w:r>
          </w:p>
        </w:tc>
        <w:tc>
          <w:tcPr>
            <w:tcW w:w="651" w:type="pct"/>
            <w:noWrap/>
            <w:vAlign w:val="center"/>
            <w:hideMark/>
          </w:tcPr>
          <w:p w14:paraId="1AAA9FBA"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r w:rsidR="00AE0505" w:rsidRPr="00C70B7C" w14:paraId="3C4ECA30" w14:textId="77777777" w:rsidTr="00C70B7C">
        <w:trPr>
          <w:trHeight w:val="315"/>
          <w:jc w:val="center"/>
        </w:trPr>
        <w:tc>
          <w:tcPr>
            <w:tcW w:w="2188" w:type="pct"/>
            <w:noWrap/>
            <w:vAlign w:val="bottom"/>
            <w:hideMark/>
          </w:tcPr>
          <w:p w14:paraId="0B47AA60"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STE 3D-EF</w:t>
            </w:r>
          </w:p>
        </w:tc>
        <w:tc>
          <w:tcPr>
            <w:tcW w:w="1082" w:type="pct"/>
            <w:noWrap/>
            <w:vAlign w:val="center"/>
            <w:hideMark/>
          </w:tcPr>
          <w:p w14:paraId="575FCE4F"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52 ±9</w:t>
            </w:r>
          </w:p>
        </w:tc>
        <w:tc>
          <w:tcPr>
            <w:tcW w:w="1079" w:type="pct"/>
            <w:noWrap/>
            <w:vAlign w:val="center"/>
            <w:hideMark/>
          </w:tcPr>
          <w:p w14:paraId="117A97B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45 ±12</w:t>
            </w:r>
          </w:p>
        </w:tc>
        <w:tc>
          <w:tcPr>
            <w:tcW w:w="651" w:type="pct"/>
            <w:noWrap/>
            <w:vAlign w:val="center"/>
            <w:hideMark/>
          </w:tcPr>
          <w:p w14:paraId="271A7031"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r w:rsidR="00AE0505" w:rsidRPr="00C70B7C" w14:paraId="1C877C1F" w14:textId="77777777" w:rsidTr="00C70B7C">
        <w:trPr>
          <w:trHeight w:val="315"/>
          <w:jc w:val="center"/>
        </w:trPr>
        <w:tc>
          <w:tcPr>
            <w:tcW w:w="2188" w:type="pct"/>
            <w:noWrap/>
            <w:vAlign w:val="bottom"/>
            <w:hideMark/>
          </w:tcPr>
          <w:p w14:paraId="35AF6ABB"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Global Longitudinal Strain</w:t>
            </w:r>
          </w:p>
        </w:tc>
        <w:tc>
          <w:tcPr>
            <w:tcW w:w="1082" w:type="pct"/>
            <w:noWrap/>
            <w:vAlign w:val="center"/>
            <w:hideMark/>
          </w:tcPr>
          <w:p w14:paraId="259E52D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-18.3 ±2.4</w:t>
            </w:r>
          </w:p>
        </w:tc>
        <w:tc>
          <w:tcPr>
            <w:tcW w:w="1079" w:type="pct"/>
            <w:noWrap/>
            <w:vAlign w:val="center"/>
            <w:hideMark/>
          </w:tcPr>
          <w:p w14:paraId="45DDB456"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-14.6 ±4.1</w:t>
            </w:r>
          </w:p>
        </w:tc>
        <w:tc>
          <w:tcPr>
            <w:tcW w:w="651" w:type="pct"/>
            <w:noWrap/>
            <w:vAlign w:val="center"/>
            <w:hideMark/>
          </w:tcPr>
          <w:p w14:paraId="655C2F1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r w:rsidR="00AE0505" w:rsidRPr="00C70B7C" w14:paraId="40CA6FFF" w14:textId="77777777" w:rsidTr="00C70B7C">
        <w:trPr>
          <w:trHeight w:val="315"/>
          <w:jc w:val="center"/>
        </w:trPr>
        <w:tc>
          <w:tcPr>
            <w:tcW w:w="2188" w:type="pct"/>
            <w:noWrap/>
            <w:vAlign w:val="bottom"/>
          </w:tcPr>
          <w:p w14:paraId="14B160EB"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Composite MACE - In hospital</w:t>
            </w:r>
          </w:p>
        </w:tc>
        <w:tc>
          <w:tcPr>
            <w:tcW w:w="1082" w:type="pct"/>
            <w:noWrap/>
            <w:vAlign w:val="center"/>
          </w:tcPr>
          <w:p w14:paraId="73DFDEE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15 (10.2)</w:t>
            </w:r>
          </w:p>
        </w:tc>
        <w:tc>
          <w:tcPr>
            <w:tcW w:w="1079" w:type="pct"/>
            <w:noWrap/>
            <w:vAlign w:val="center"/>
          </w:tcPr>
          <w:p w14:paraId="6E7815D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38 (22.6)</w:t>
            </w:r>
          </w:p>
        </w:tc>
        <w:tc>
          <w:tcPr>
            <w:tcW w:w="651" w:type="pct"/>
            <w:noWrap/>
            <w:vAlign w:val="bottom"/>
          </w:tcPr>
          <w:p w14:paraId="0FEAE11B"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0.003*</w:t>
            </w:r>
          </w:p>
        </w:tc>
      </w:tr>
      <w:tr w:rsidR="00AE0505" w:rsidRPr="00C70B7C" w14:paraId="2D31C3EF" w14:textId="77777777" w:rsidTr="00C70B7C">
        <w:trPr>
          <w:trHeight w:val="315"/>
          <w:jc w:val="center"/>
        </w:trPr>
        <w:tc>
          <w:tcPr>
            <w:tcW w:w="2188" w:type="pct"/>
            <w:noWrap/>
            <w:vAlign w:val="bottom"/>
          </w:tcPr>
          <w:p w14:paraId="3137636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Arrhythmia</w:t>
            </w:r>
          </w:p>
        </w:tc>
        <w:tc>
          <w:tcPr>
            <w:tcW w:w="1082" w:type="pct"/>
            <w:noWrap/>
            <w:vAlign w:val="center"/>
          </w:tcPr>
          <w:p w14:paraId="34ED311F"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 (0.7)</w:t>
            </w:r>
          </w:p>
        </w:tc>
        <w:tc>
          <w:tcPr>
            <w:tcW w:w="1079" w:type="pct"/>
            <w:noWrap/>
            <w:vAlign w:val="center"/>
          </w:tcPr>
          <w:p w14:paraId="0A824FC7"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2 (1.2)</w:t>
            </w:r>
          </w:p>
        </w:tc>
        <w:tc>
          <w:tcPr>
            <w:tcW w:w="651" w:type="pct"/>
            <w:noWrap/>
            <w:vAlign w:val="bottom"/>
          </w:tcPr>
          <w:p w14:paraId="443B2CC8"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1</w:t>
            </w:r>
          </w:p>
        </w:tc>
      </w:tr>
      <w:tr w:rsidR="00AE0505" w:rsidRPr="00C70B7C" w14:paraId="011C8AED" w14:textId="77777777" w:rsidTr="00C70B7C">
        <w:trPr>
          <w:trHeight w:val="315"/>
          <w:jc w:val="center"/>
        </w:trPr>
        <w:tc>
          <w:tcPr>
            <w:tcW w:w="2188" w:type="pct"/>
            <w:noWrap/>
            <w:vAlign w:val="bottom"/>
          </w:tcPr>
          <w:p w14:paraId="6936620B"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Heart Failure</w:t>
            </w:r>
          </w:p>
        </w:tc>
        <w:tc>
          <w:tcPr>
            <w:tcW w:w="1082" w:type="pct"/>
            <w:noWrap/>
            <w:vAlign w:val="center"/>
          </w:tcPr>
          <w:p w14:paraId="665C1F0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11 (7.5)</w:t>
            </w:r>
          </w:p>
        </w:tc>
        <w:tc>
          <w:tcPr>
            <w:tcW w:w="1079" w:type="pct"/>
            <w:noWrap/>
            <w:vAlign w:val="center"/>
          </w:tcPr>
          <w:p w14:paraId="771E4F7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29 (17.3)</w:t>
            </w:r>
          </w:p>
        </w:tc>
        <w:tc>
          <w:tcPr>
            <w:tcW w:w="651" w:type="pct"/>
            <w:noWrap/>
            <w:vAlign w:val="bottom"/>
          </w:tcPr>
          <w:p w14:paraId="60DC5E5A"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0.009*</w:t>
            </w:r>
          </w:p>
        </w:tc>
      </w:tr>
      <w:tr w:rsidR="00AE0505" w:rsidRPr="00C70B7C" w14:paraId="73155324" w14:textId="77777777" w:rsidTr="00C70B7C">
        <w:trPr>
          <w:trHeight w:val="315"/>
          <w:jc w:val="center"/>
        </w:trPr>
        <w:tc>
          <w:tcPr>
            <w:tcW w:w="2188" w:type="pct"/>
            <w:noWrap/>
            <w:vAlign w:val="bottom"/>
          </w:tcPr>
          <w:p w14:paraId="3F0A4C9C"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Cardiogenic shock</w:t>
            </w:r>
          </w:p>
        </w:tc>
        <w:tc>
          <w:tcPr>
            <w:tcW w:w="1082" w:type="pct"/>
            <w:noWrap/>
            <w:vAlign w:val="center"/>
          </w:tcPr>
          <w:p w14:paraId="0929E47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 (0)</w:t>
            </w:r>
          </w:p>
        </w:tc>
        <w:tc>
          <w:tcPr>
            <w:tcW w:w="1079" w:type="pct"/>
            <w:noWrap/>
            <w:vAlign w:val="center"/>
          </w:tcPr>
          <w:p w14:paraId="272DE4A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5 (3)</w:t>
            </w:r>
          </w:p>
        </w:tc>
        <w:tc>
          <w:tcPr>
            <w:tcW w:w="651" w:type="pct"/>
            <w:noWrap/>
            <w:vAlign w:val="bottom"/>
          </w:tcPr>
          <w:p w14:paraId="26AA6C9C"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0.063</w:t>
            </w:r>
          </w:p>
        </w:tc>
      </w:tr>
      <w:tr w:rsidR="00AE0505" w:rsidRPr="00C70B7C" w14:paraId="055A24DA" w14:textId="77777777" w:rsidTr="00C70B7C">
        <w:trPr>
          <w:trHeight w:val="315"/>
          <w:jc w:val="center"/>
        </w:trPr>
        <w:tc>
          <w:tcPr>
            <w:tcW w:w="2188" w:type="pct"/>
            <w:noWrap/>
            <w:vAlign w:val="bottom"/>
          </w:tcPr>
          <w:p w14:paraId="14238E4E"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Mortality</w:t>
            </w:r>
          </w:p>
        </w:tc>
        <w:tc>
          <w:tcPr>
            <w:tcW w:w="1082" w:type="pct"/>
            <w:noWrap/>
            <w:vAlign w:val="center"/>
          </w:tcPr>
          <w:p w14:paraId="3317147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 (0)</w:t>
            </w:r>
          </w:p>
        </w:tc>
        <w:tc>
          <w:tcPr>
            <w:tcW w:w="1079" w:type="pct"/>
            <w:noWrap/>
            <w:vAlign w:val="center"/>
          </w:tcPr>
          <w:p w14:paraId="1779C43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4 (2.4)</w:t>
            </w:r>
          </w:p>
        </w:tc>
        <w:tc>
          <w:tcPr>
            <w:tcW w:w="651" w:type="pct"/>
            <w:noWrap/>
            <w:vAlign w:val="bottom"/>
          </w:tcPr>
          <w:p w14:paraId="3568824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0.126</w:t>
            </w:r>
          </w:p>
        </w:tc>
      </w:tr>
      <w:tr w:rsidR="00AE0505" w:rsidRPr="00C70B7C" w14:paraId="3951C40C" w14:textId="77777777" w:rsidTr="00C70B7C">
        <w:trPr>
          <w:trHeight w:val="315"/>
          <w:jc w:val="center"/>
        </w:trPr>
        <w:tc>
          <w:tcPr>
            <w:tcW w:w="2188" w:type="pct"/>
            <w:noWrap/>
            <w:vAlign w:val="bottom"/>
          </w:tcPr>
          <w:p w14:paraId="6E4470DF"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Stroke</w:t>
            </w:r>
          </w:p>
        </w:tc>
        <w:tc>
          <w:tcPr>
            <w:tcW w:w="1082" w:type="pct"/>
            <w:noWrap/>
            <w:vAlign w:val="center"/>
          </w:tcPr>
          <w:p w14:paraId="52AB054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 (0.7)</w:t>
            </w:r>
          </w:p>
        </w:tc>
        <w:tc>
          <w:tcPr>
            <w:tcW w:w="1079" w:type="pct"/>
            <w:noWrap/>
            <w:vAlign w:val="center"/>
          </w:tcPr>
          <w:p w14:paraId="05F5A4B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 (0.6)</w:t>
            </w:r>
          </w:p>
        </w:tc>
        <w:tc>
          <w:tcPr>
            <w:tcW w:w="651" w:type="pct"/>
            <w:noWrap/>
            <w:vAlign w:val="bottom"/>
          </w:tcPr>
          <w:p w14:paraId="3BBC13D6"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1</w:t>
            </w:r>
          </w:p>
        </w:tc>
      </w:tr>
      <w:tr w:rsidR="00AE0505" w:rsidRPr="00C70B7C" w14:paraId="1D88A12D" w14:textId="77777777" w:rsidTr="00C70B7C">
        <w:trPr>
          <w:trHeight w:val="315"/>
          <w:jc w:val="center"/>
        </w:trPr>
        <w:tc>
          <w:tcPr>
            <w:tcW w:w="2188" w:type="pct"/>
            <w:noWrap/>
            <w:vAlign w:val="bottom"/>
          </w:tcPr>
          <w:p w14:paraId="10DAC8E5"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Hemorrhage</w:t>
            </w:r>
          </w:p>
        </w:tc>
        <w:tc>
          <w:tcPr>
            <w:tcW w:w="1082" w:type="pct"/>
            <w:noWrap/>
            <w:vAlign w:val="center"/>
          </w:tcPr>
          <w:p w14:paraId="3459A61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 (0.7)</w:t>
            </w:r>
          </w:p>
        </w:tc>
        <w:tc>
          <w:tcPr>
            <w:tcW w:w="1079" w:type="pct"/>
            <w:noWrap/>
            <w:vAlign w:val="center"/>
          </w:tcPr>
          <w:p w14:paraId="6E44F92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 (0)</w:t>
            </w:r>
          </w:p>
        </w:tc>
        <w:tc>
          <w:tcPr>
            <w:tcW w:w="651" w:type="pct"/>
            <w:noWrap/>
            <w:vAlign w:val="bottom"/>
          </w:tcPr>
          <w:p w14:paraId="6717F7C1"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0.467</w:t>
            </w:r>
          </w:p>
        </w:tc>
      </w:tr>
      <w:tr w:rsidR="00AE0505" w:rsidRPr="00C70B7C" w14:paraId="290AF421" w14:textId="77777777" w:rsidTr="00C70B7C">
        <w:trPr>
          <w:trHeight w:val="315"/>
          <w:jc w:val="center"/>
        </w:trPr>
        <w:tc>
          <w:tcPr>
            <w:tcW w:w="2188" w:type="pct"/>
            <w:noWrap/>
            <w:vAlign w:val="bottom"/>
          </w:tcPr>
          <w:p w14:paraId="1D9BEAB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Reinfarction</w:t>
            </w:r>
          </w:p>
        </w:tc>
        <w:tc>
          <w:tcPr>
            <w:tcW w:w="1082" w:type="pct"/>
            <w:noWrap/>
            <w:vAlign w:val="center"/>
          </w:tcPr>
          <w:p w14:paraId="0187CD7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 (0.7)</w:t>
            </w:r>
          </w:p>
        </w:tc>
        <w:tc>
          <w:tcPr>
            <w:tcW w:w="1079" w:type="pct"/>
            <w:noWrap/>
            <w:vAlign w:val="center"/>
          </w:tcPr>
          <w:p w14:paraId="51E1178E"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3 (1.8)</w:t>
            </w:r>
          </w:p>
        </w:tc>
        <w:tc>
          <w:tcPr>
            <w:tcW w:w="651" w:type="pct"/>
            <w:noWrap/>
            <w:vAlign w:val="bottom"/>
          </w:tcPr>
          <w:p w14:paraId="4351829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0.626</w:t>
            </w:r>
          </w:p>
        </w:tc>
      </w:tr>
      <w:tr w:rsidR="00AE0505" w:rsidRPr="00C70B7C" w14:paraId="264B080F" w14:textId="77777777" w:rsidTr="00C70B7C">
        <w:trPr>
          <w:trHeight w:val="315"/>
          <w:jc w:val="center"/>
        </w:trPr>
        <w:tc>
          <w:tcPr>
            <w:tcW w:w="2188" w:type="pct"/>
            <w:noWrap/>
            <w:vAlign w:val="bottom"/>
          </w:tcPr>
          <w:p w14:paraId="24446EB5"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Composite MACE - Follow-up</w:t>
            </w:r>
          </w:p>
        </w:tc>
        <w:tc>
          <w:tcPr>
            <w:tcW w:w="1082" w:type="pct"/>
            <w:noWrap/>
            <w:vAlign w:val="center"/>
          </w:tcPr>
          <w:p w14:paraId="7057CBA0"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11 (7.5)</w:t>
            </w:r>
          </w:p>
        </w:tc>
        <w:tc>
          <w:tcPr>
            <w:tcW w:w="1079" w:type="pct"/>
            <w:noWrap/>
            <w:vAlign w:val="center"/>
          </w:tcPr>
          <w:p w14:paraId="732BA9F7"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25 (14.9)</w:t>
            </w:r>
          </w:p>
        </w:tc>
        <w:tc>
          <w:tcPr>
            <w:tcW w:w="651" w:type="pct"/>
            <w:noWrap/>
            <w:vAlign w:val="bottom"/>
          </w:tcPr>
          <w:p w14:paraId="6D2457D9"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b/>
                <w:bCs/>
                <w:sz w:val="24"/>
                <w:szCs w:val="24"/>
              </w:rPr>
              <w:t>0.04*</w:t>
            </w:r>
          </w:p>
        </w:tc>
      </w:tr>
      <w:tr w:rsidR="00AE0505" w:rsidRPr="00C70B7C" w14:paraId="125A6EA6" w14:textId="77777777" w:rsidTr="00C70B7C">
        <w:trPr>
          <w:trHeight w:val="315"/>
          <w:jc w:val="center"/>
        </w:trPr>
        <w:tc>
          <w:tcPr>
            <w:tcW w:w="2188" w:type="pct"/>
            <w:noWrap/>
            <w:vAlign w:val="bottom"/>
          </w:tcPr>
          <w:p w14:paraId="2780F46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Non-fatal Myocardial infarction</w:t>
            </w:r>
          </w:p>
        </w:tc>
        <w:tc>
          <w:tcPr>
            <w:tcW w:w="1082" w:type="pct"/>
            <w:noWrap/>
            <w:vAlign w:val="center"/>
          </w:tcPr>
          <w:p w14:paraId="192CDBC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 (5.4)</w:t>
            </w:r>
          </w:p>
        </w:tc>
        <w:tc>
          <w:tcPr>
            <w:tcW w:w="1079" w:type="pct"/>
            <w:noWrap/>
            <w:vAlign w:val="center"/>
          </w:tcPr>
          <w:p w14:paraId="68F90CC7"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11 (6.5)</w:t>
            </w:r>
          </w:p>
        </w:tc>
        <w:tc>
          <w:tcPr>
            <w:tcW w:w="651" w:type="pct"/>
            <w:noWrap/>
            <w:vAlign w:val="bottom"/>
          </w:tcPr>
          <w:p w14:paraId="356C2F2C"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0.681</w:t>
            </w:r>
          </w:p>
        </w:tc>
      </w:tr>
      <w:tr w:rsidR="00AE0505" w:rsidRPr="00C70B7C" w14:paraId="78E0841C" w14:textId="77777777" w:rsidTr="00C70B7C">
        <w:trPr>
          <w:trHeight w:val="315"/>
          <w:jc w:val="center"/>
        </w:trPr>
        <w:tc>
          <w:tcPr>
            <w:tcW w:w="2188" w:type="pct"/>
            <w:noWrap/>
            <w:vAlign w:val="bottom"/>
          </w:tcPr>
          <w:p w14:paraId="32538A9B"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Stroke</w:t>
            </w:r>
          </w:p>
        </w:tc>
        <w:tc>
          <w:tcPr>
            <w:tcW w:w="1082" w:type="pct"/>
            <w:noWrap/>
            <w:vAlign w:val="center"/>
          </w:tcPr>
          <w:p w14:paraId="49F92DE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 (0.7)</w:t>
            </w:r>
          </w:p>
        </w:tc>
        <w:tc>
          <w:tcPr>
            <w:tcW w:w="1079" w:type="pct"/>
            <w:noWrap/>
            <w:vAlign w:val="center"/>
          </w:tcPr>
          <w:p w14:paraId="7762EFB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3 (1.8)</w:t>
            </w:r>
          </w:p>
        </w:tc>
        <w:tc>
          <w:tcPr>
            <w:tcW w:w="651" w:type="pct"/>
            <w:noWrap/>
            <w:vAlign w:val="bottom"/>
          </w:tcPr>
          <w:p w14:paraId="29929EB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0.626</w:t>
            </w:r>
          </w:p>
        </w:tc>
      </w:tr>
      <w:tr w:rsidR="00AE0505" w:rsidRPr="00C70B7C" w14:paraId="7DC007F2" w14:textId="77777777" w:rsidTr="00C70B7C">
        <w:trPr>
          <w:trHeight w:val="315"/>
          <w:jc w:val="center"/>
        </w:trPr>
        <w:tc>
          <w:tcPr>
            <w:tcW w:w="2188" w:type="pct"/>
            <w:noWrap/>
            <w:vAlign w:val="bottom"/>
          </w:tcPr>
          <w:p w14:paraId="58392300"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Heart Failure</w:t>
            </w:r>
          </w:p>
        </w:tc>
        <w:tc>
          <w:tcPr>
            <w:tcW w:w="1082" w:type="pct"/>
            <w:noWrap/>
            <w:vAlign w:val="center"/>
          </w:tcPr>
          <w:p w14:paraId="2300A88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2 (1.4)</w:t>
            </w:r>
          </w:p>
        </w:tc>
        <w:tc>
          <w:tcPr>
            <w:tcW w:w="1079" w:type="pct"/>
            <w:noWrap/>
            <w:vAlign w:val="center"/>
          </w:tcPr>
          <w:p w14:paraId="6B4DB0E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12 (7.1)</w:t>
            </w:r>
          </w:p>
        </w:tc>
        <w:tc>
          <w:tcPr>
            <w:tcW w:w="651" w:type="pct"/>
            <w:noWrap/>
            <w:vAlign w:val="bottom"/>
          </w:tcPr>
          <w:p w14:paraId="1E88B62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b/>
                <w:bCs/>
                <w:sz w:val="24"/>
                <w:szCs w:val="24"/>
              </w:rPr>
              <w:t>0.013*</w:t>
            </w:r>
          </w:p>
        </w:tc>
      </w:tr>
      <w:tr w:rsidR="00AE0505" w:rsidRPr="00C70B7C" w14:paraId="2A6C2EA9" w14:textId="77777777" w:rsidTr="00C70B7C">
        <w:trPr>
          <w:trHeight w:val="315"/>
          <w:jc w:val="center"/>
        </w:trPr>
        <w:tc>
          <w:tcPr>
            <w:tcW w:w="2188" w:type="pct"/>
            <w:tcBorders>
              <w:bottom w:val="single" w:sz="4" w:space="0" w:color="auto"/>
            </w:tcBorders>
            <w:noWrap/>
            <w:vAlign w:val="bottom"/>
          </w:tcPr>
          <w:p w14:paraId="4AFDC7B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Mortality</w:t>
            </w:r>
          </w:p>
        </w:tc>
        <w:tc>
          <w:tcPr>
            <w:tcW w:w="1082" w:type="pct"/>
            <w:tcBorders>
              <w:bottom w:val="single" w:sz="4" w:space="0" w:color="auto"/>
            </w:tcBorders>
            <w:noWrap/>
            <w:vAlign w:val="center"/>
          </w:tcPr>
          <w:p w14:paraId="04E2F06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 (0)</w:t>
            </w:r>
          </w:p>
        </w:tc>
        <w:tc>
          <w:tcPr>
            <w:tcW w:w="1079" w:type="pct"/>
            <w:tcBorders>
              <w:bottom w:val="single" w:sz="4" w:space="0" w:color="auto"/>
            </w:tcBorders>
            <w:noWrap/>
            <w:vAlign w:val="center"/>
          </w:tcPr>
          <w:p w14:paraId="112C5E4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2 (1.2)</w:t>
            </w:r>
          </w:p>
        </w:tc>
        <w:tc>
          <w:tcPr>
            <w:tcW w:w="651" w:type="pct"/>
            <w:tcBorders>
              <w:bottom w:val="single" w:sz="4" w:space="0" w:color="auto"/>
            </w:tcBorders>
            <w:noWrap/>
            <w:vAlign w:val="bottom"/>
          </w:tcPr>
          <w:p w14:paraId="6E28B31C"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0.501</w:t>
            </w:r>
          </w:p>
        </w:tc>
      </w:tr>
    </w:tbl>
    <w:p w14:paraId="1346DC0B" w14:textId="77777777" w:rsidR="00DD4EFA" w:rsidRPr="00C70B7C" w:rsidRDefault="00DD4EFA" w:rsidP="00C70B7C">
      <w:pPr>
        <w:pStyle w:val="F-note"/>
        <w:spacing w:before="120" w:after="240" w:line="360" w:lineRule="auto"/>
        <w:rPr>
          <w:rFonts w:asciiTheme="majorBidi" w:hAnsiTheme="majorBidi" w:cstheme="majorBidi"/>
          <w:sz w:val="24"/>
          <w:szCs w:val="24"/>
        </w:rPr>
      </w:pPr>
    </w:p>
    <w:p w14:paraId="207452E3" w14:textId="77777777" w:rsidR="00AE0505" w:rsidRPr="00C70B7C" w:rsidRDefault="00DD4EFA" w:rsidP="00C70B7C">
      <w:pPr>
        <w:spacing w:before="120" w:after="240" w:line="360" w:lineRule="auto"/>
        <w:jc w:val="both"/>
        <w:rPr>
          <w:rFonts w:asciiTheme="majorBidi" w:hAnsiTheme="majorBidi" w:cstheme="majorBidi"/>
          <w:kern w:val="2"/>
          <w:sz w:val="24"/>
          <w:szCs w:val="24"/>
          <w14:ligatures w14:val="standardContextual"/>
        </w:rPr>
      </w:pPr>
      <w:r w:rsidRPr="00C70B7C">
        <w:rPr>
          <w:rFonts w:asciiTheme="majorBidi" w:hAnsiTheme="majorBidi" w:cstheme="majorBidi"/>
          <w:sz w:val="24"/>
          <w:szCs w:val="24"/>
        </w:rPr>
        <w:br w:type="page"/>
      </w:r>
    </w:p>
    <w:p w14:paraId="299C8D7B" w14:textId="77777777" w:rsidR="00AE0505" w:rsidRPr="00C70B7C" w:rsidRDefault="0086027F" w:rsidP="00C70B7C">
      <w:pPr>
        <w:pStyle w:val="ac"/>
        <w:keepNext w:val="0"/>
        <w:spacing w:before="120" w:after="240"/>
        <w:rPr>
          <w:rFonts w:asciiTheme="majorBidi" w:eastAsia="Times New Roman" w:hAnsiTheme="majorBidi" w:cstheme="majorBidi"/>
          <w:kern w:val="0"/>
          <w14:ligatures w14:val="none"/>
        </w:rPr>
      </w:pPr>
      <w:r w:rsidRPr="00C70B7C">
        <w:rPr>
          <w:rFonts w:asciiTheme="majorBidi" w:hAnsiTheme="majorBidi" w:cstheme="majorBidi"/>
        </w:rPr>
        <w:lastRenderedPageBreak/>
        <w:t xml:space="preserve">Table 4: ROC analysis for </w:t>
      </w:r>
      <w:r w:rsidRPr="00C70B7C">
        <w:rPr>
          <w:rFonts w:asciiTheme="majorBidi" w:eastAsia="Times New Roman" w:hAnsiTheme="majorBidi" w:cstheme="majorBidi"/>
          <w:kern w:val="0"/>
          <w14:ligatures w14:val="none"/>
        </w:rPr>
        <w:t>TyG index to predict in-hospital heart failure and predict composite MACE - in hospital.</w:t>
      </w:r>
    </w:p>
    <w:tbl>
      <w:tblPr>
        <w:tblW w:w="2306" w:type="pct"/>
        <w:jc w:val="center"/>
        <w:tblBorders>
          <w:top w:val="single" w:sz="4" w:space="0" w:color="auto"/>
          <w:bottom w:val="single" w:sz="4" w:space="0" w:color="auto"/>
        </w:tblBorders>
        <w:tblLook w:val="04A0" w:firstRow="1" w:lastRow="0" w:firstColumn="1" w:lastColumn="0" w:noHBand="0" w:noVBand="1"/>
      </w:tblPr>
      <w:tblGrid>
        <w:gridCol w:w="2750"/>
        <w:gridCol w:w="1666"/>
      </w:tblGrid>
      <w:tr w:rsidR="00AE0505" w:rsidRPr="00C70B7C" w14:paraId="4D4B4C9C" w14:textId="77777777" w:rsidTr="00BC40D3">
        <w:trPr>
          <w:trHeight w:val="290"/>
          <w:jc w:val="center"/>
        </w:trPr>
        <w:tc>
          <w:tcPr>
            <w:tcW w:w="3114" w:type="pct"/>
            <w:tcBorders>
              <w:top w:val="single" w:sz="4" w:space="0" w:color="auto"/>
              <w:bottom w:val="single" w:sz="4" w:space="0" w:color="auto"/>
            </w:tcBorders>
            <w:noWrap/>
            <w:vAlign w:val="bottom"/>
            <w:hideMark/>
          </w:tcPr>
          <w:p w14:paraId="75EC784E"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b/>
                <w:bCs/>
                <w:sz w:val="24"/>
                <w:szCs w:val="24"/>
              </w:rPr>
              <w:t>ROC characteristics</w:t>
            </w:r>
          </w:p>
        </w:tc>
        <w:tc>
          <w:tcPr>
            <w:tcW w:w="1886" w:type="pct"/>
            <w:tcBorders>
              <w:top w:val="single" w:sz="4" w:space="0" w:color="auto"/>
              <w:bottom w:val="single" w:sz="4" w:space="0" w:color="auto"/>
            </w:tcBorders>
            <w:vAlign w:val="center"/>
            <w:hideMark/>
          </w:tcPr>
          <w:p w14:paraId="0BD0334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TyG index</w:t>
            </w:r>
          </w:p>
        </w:tc>
      </w:tr>
      <w:tr w:rsidR="00AE0505" w:rsidRPr="00C70B7C" w14:paraId="01AC70C6" w14:textId="77777777" w:rsidTr="00BC40D3">
        <w:trPr>
          <w:trHeight w:val="290"/>
          <w:jc w:val="center"/>
        </w:trPr>
        <w:tc>
          <w:tcPr>
            <w:tcW w:w="3114" w:type="pct"/>
            <w:tcBorders>
              <w:top w:val="single" w:sz="4" w:space="0" w:color="auto"/>
            </w:tcBorders>
            <w:noWrap/>
            <w:vAlign w:val="bottom"/>
            <w:hideMark/>
          </w:tcPr>
          <w:p w14:paraId="5CC6CA25"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 xml:space="preserve">AUC </w:t>
            </w:r>
          </w:p>
        </w:tc>
        <w:tc>
          <w:tcPr>
            <w:tcW w:w="1886" w:type="pct"/>
            <w:tcBorders>
              <w:top w:val="single" w:sz="4" w:space="0" w:color="auto"/>
            </w:tcBorders>
            <w:noWrap/>
            <w:vAlign w:val="bottom"/>
            <w:hideMark/>
          </w:tcPr>
          <w:p w14:paraId="5145E69A"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0.694</w:t>
            </w:r>
          </w:p>
        </w:tc>
      </w:tr>
      <w:tr w:rsidR="00AE0505" w:rsidRPr="00C70B7C" w14:paraId="2D19B7B9" w14:textId="77777777" w:rsidTr="00BC40D3">
        <w:trPr>
          <w:trHeight w:val="290"/>
          <w:jc w:val="center"/>
        </w:trPr>
        <w:tc>
          <w:tcPr>
            <w:tcW w:w="3114" w:type="pct"/>
            <w:noWrap/>
            <w:vAlign w:val="bottom"/>
            <w:hideMark/>
          </w:tcPr>
          <w:p w14:paraId="4F6F12B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95% CI</w:t>
            </w:r>
          </w:p>
        </w:tc>
        <w:tc>
          <w:tcPr>
            <w:tcW w:w="1886" w:type="pct"/>
            <w:noWrap/>
            <w:vAlign w:val="bottom"/>
            <w:hideMark/>
          </w:tcPr>
          <w:p w14:paraId="732D54C3" w14:textId="77777777" w:rsidR="00AE0505" w:rsidRPr="00C70B7C" w:rsidRDefault="0086027F" w:rsidP="00C70B7C">
            <w:pPr>
              <w:spacing w:after="0" w:line="240" w:lineRule="auto"/>
              <w:jc w:val="both"/>
              <w:rPr>
                <w:rFonts w:asciiTheme="majorBidi" w:eastAsia="Times New Roman" w:hAnsiTheme="majorBidi" w:cstheme="majorBidi"/>
                <w:sz w:val="24"/>
                <w:szCs w:val="24"/>
                <w:rtl/>
                <w:lang w:bidi="ar-EG"/>
              </w:rPr>
            </w:pPr>
            <w:r w:rsidRPr="00C70B7C">
              <w:rPr>
                <w:rFonts w:asciiTheme="majorBidi" w:eastAsia="Times New Roman" w:hAnsiTheme="majorBidi" w:cstheme="majorBidi"/>
                <w:sz w:val="24"/>
                <w:szCs w:val="24"/>
              </w:rPr>
              <w:t>0.600 - 0.788</w:t>
            </w:r>
          </w:p>
        </w:tc>
      </w:tr>
      <w:tr w:rsidR="00AE0505" w:rsidRPr="00C70B7C" w14:paraId="3D45466B" w14:textId="77777777" w:rsidTr="00BC40D3">
        <w:trPr>
          <w:trHeight w:val="290"/>
          <w:jc w:val="center"/>
        </w:trPr>
        <w:tc>
          <w:tcPr>
            <w:tcW w:w="3114" w:type="pct"/>
            <w:noWrap/>
            <w:vAlign w:val="bottom"/>
            <w:hideMark/>
          </w:tcPr>
          <w:p w14:paraId="4EAA09D9"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Best cutoff point</w:t>
            </w:r>
          </w:p>
        </w:tc>
        <w:tc>
          <w:tcPr>
            <w:tcW w:w="1886" w:type="pct"/>
            <w:noWrap/>
            <w:vAlign w:val="bottom"/>
            <w:hideMark/>
          </w:tcPr>
          <w:p w14:paraId="6C48BB4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&gt;9.07</w:t>
            </w:r>
          </w:p>
        </w:tc>
      </w:tr>
      <w:tr w:rsidR="00AE0505" w:rsidRPr="00C70B7C" w14:paraId="432B8D3E" w14:textId="77777777" w:rsidTr="00BC40D3">
        <w:trPr>
          <w:trHeight w:val="290"/>
          <w:jc w:val="center"/>
        </w:trPr>
        <w:tc>
          <w:tcPr>
            <w:tcW w:w="3114" w:type="pct"/>
            <w:noWrap/>
            <w:vAlign w:val="bottom"/>
            <w:hideMark/>
          </w:tcPr>
          <w:p w14:paraId="25AB568E"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Sensitivity</w:t>
            </w:r>
          </w:p>
        </w:tc>
        <w:tc>
          <w:tcPr>
            <w:tcW w:w="1886" w:type="pct"/>
            <w:noWrap/>
            <w:vAlign w:val="bottom"/>
            <w:hideMark/>
          </w:tcPr>
          <w:p w14:paraId="39245DB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47.50 %</w:t>
            </w:r>
          </w:p>
        </w:tc>
      </w:tr>
      <w:tr w:rsidR="00AE0505" w:rsidRPr="00C70B7C" w14:paraId="2D17B847" w14:textId="77777777" w:rsidTr="00BC40D3">
        <w:trPr>
          <w:trHeight w:val="290"/>
          <w:jc w:val="center"/>
        </w:trPr>
        <w:tc>
          <w:tcPr>
            <w:tcW w:w="3114" w:type="pct"/>
            <w:noWrap/>
            <w:vAlign w:val="bottom"/>
            <w:hideMark/>
          </w:tcPr>
          <w:p w14:paraId="78D66EF8"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Specificity</w:t>
            </w:r>
          </w:p>
        </w:tc>
        <w:tc>
          <w:tcPr>
            <w:tcW w:w="1886" w:type="pct"/>
            <w:noWrap/>
            <w:vAlign w:val="bottom"/>
            <w:hideMark/>
          </w:tcPr>
          <w:p w14:paraId="556C0C10"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84.73 %</w:t>
            </w:r>
          </w:p>
        </w:tc>
      </w:tr>
      <w:tr w:rsidR="00AE0505" w:rsidRPr="00C70B7C" w14:paraId="33C26B52" w14:textId="77777777" w:rsidTr="00BC40D3">
        <w:trPr>
          <w:trHeight w:val="290"/>
          <w:jc w:val="center"/>
        </w:trPr>
        <w:tc>
          <w:tcPr>
            <w:tcW w:w="3114" w:type="pct"/>
            <w:noWrap/>
            <w:vAlign w:val="bottom"/>
            <w:hideMark/>
          </w:tcPr>
          <w:p w14:paraId="020535F1"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PPV</w:t>
            </w:r>
          </w:p>
        </w:tc>
        <w:tc>
          <w:tcPr>
            <w:tcW w:w="1886" w:type="pct"/>
            <w:noWrap/>
            <w:vAlign w:val="bottom"/>
            <w:hideMark/>
          </w:tcPr>
          <w:p w14:paraId="1CF3103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31.1 %</w:t>
            </w:r>
          </w:p>
        </w:tc>
      </w:tr>
      <w:tr w:rsidR="00AE0505" w:rsidRPr="00C70B7C" w14:paraId="1AC3A2FE" w14:textId="77777777" w:rsidTr="00BC40D3">
        <w:trPr>
          <w:trHeight w:val="290"/>
          <w:jc w:val="center"/>
        </w:trPr>
        <w:tc>
          <w:tcPr>
            <w:tcW w:w="3114" w:type="pct"/>
            <w:noWrap/>
            <w:vAlign w:val="bottom"/>
            <w:hideMark/>
          </w:tcPr>
          <w:p w14:paraId="449C08FF"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NPV</w:t>
            </w:r>
          </w:p>
        </w:tc>
        <w:tc>
          <w:tcPr>
            <w:tcW w:w="1886" w:type="pct"/>
            <w:noWrap/>
            <w:vAlign w:val="bottom"/>
            <w:hideMark/>
          </w:tcPr>
          <w:p w14:paraId="3112012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91.7 %</w:t>
            </w:r>
          </w:p>
        </w:tc>
      </w:tr>
      <w:tr w:rsidR="00AE0505" w:rsidRPr="00C70B7C" w14:paraId="281AD71B" w14:textId="77777777" w:rsidTr="00BC40D3">
        <w:trPr>
          <w:trHeight w:val="290"/>
          <w:jc w:val="center"/>
        </w:trPr>
        <w:tc>
          <w:tcPr>
            <w:tcW w:w="3114" w:type="pct"/>
            <w:noWrap/>
            <w:vAlign w:val="bottom"/>
            <w:hideMark/>
          </w:tcPr>
          <w:p w14:paraId="5E50B1FA"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w:t>
            </w:r>
          </w:p>
        </w:tc>
        <w:tc>
          <w:tcPr>
            <w:tcW w:w="1886" w:type="pct"/>
            <w:noWrap/>
            <w:vAlign w:val="bottom"/>
            <w:hideMark/>
          </w:tcPr>
          <w:p w14:paraId="58C8BD81"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r w:rsidR="00AE0505" w:rsidRPr="00C70B7C" w14:paraId="3631907F" w14:textId="77777777" w:rsidTr="00BC40D3">
        <w:trPr>
          <w:trHeight w:val="290"/>
          <w:jc w:val="center"/>
        </w:trPr>
        <w:tc>
          <w:tcPr>
            <w:tcW w:w="3114" w:type="pct"/>
            <w:noWrap/>
            <w:vAlign w:val="bottom"/>
            <w:hideMark/>
          </w:tcPr>
          <w:p w14:paraId="28BAE719"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ROC characteristics</w:t>
            </w:r>
          </w:p>
        </w:tc>
        <w:tc>
          <w:tcPr>
            <w:tcW w:w="1886" w:type="pct"/>
            <w:noWrap/>
            <w:vAlign w:val="bottom"/>
            <w:hideMark/>
          </w:tcPr>
          <w:p w14:paraId="25407E1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TyG index</w:t>
            </w:r>
          </w:p>
        </w:tc>
      </w:tr>
      <w:tr w:rsidR="00AE0505" w:rsidRPr="00C70B7C" w14:paraId="0D925797" w14:textId="77777777" w:rsidTr="00BC40D3">
        <w:trPr>
          <w:trHeight w:val="290"/>
          <w:jc w:val="center"/>
        </w:trPr>
        <w:tc>
          <w:tcPr>
            <w:tcW w:w="3114" w:type="pct"/>
            <w:noWrap/>
            <w:vAlign w:val="bottom"/>
            <w:hideMark/>
          </w:tcPr>
          <w:p w14:paraId="268119B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 xml:space="preserve">AUC </w:t>
            </w:r>
          </w:p>
        </w:tc>
        <w:tc>
          <w:tcPr>
            <w:tcW w:w="1886" w:type="pct"/>
            <w:noWrap/>
            <w:vAlign w:val="bottom"/>
            <w:hideMark/>
          </w:tcPr>
          <w:p w14:paraId="41C3BF65"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0.699</w:t>
            </w:r>
          </w:p>
        </w:tc>
      </w:tr>
      <w:tr w:rsidR="00AE0505" w:rsidRPr="00C70B7C" w14:paraId="342A23C4" w14:textId="77777777" w:rsidTr="00BC40D3">
        <w:trPr>
          <w:trHeight w:val="290"/>
          <w:jc w:val="center"/>
        </w:trPr>
        <w:tc>
          <w:tcPr>
            <w:tcW w:w="3114" w:type="pct"/>
            <w:noWrap/>
            <w:vAlign w:val="bottom"/>
            <w:hideMark/>
          </w:tcPr>
          <w:p w14:paraId="423703C9"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95% CI</w:t>
            </w:r>
          </w:p>
        </w:tc>
        <w:tc>
          <w:tcPr>
            <w:tcW w:w="1886" w:type="pct"/>
            <w:noWrap/>
            <w:vAlign w:val="bottom"/>
            <w:hideMark/>
          </w:tcPr>
          <w:p w14:paraId="53991E3E"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0.616 - 0.783</w:t>
            </w:r>
          </w:p>
        </w:tc>
      </w:tr>
      <w:tr w:rsidR="00AE0505" w:rsidRPr="00C70B7C" w14:paraId="77CD4C27" w14:textId="77777777" w:rsidTr="00BC40D3">
        <w:trPr>
          <w:trHeight w:val="290"/>
          <w:jc w:val="center"/>
        </w:trPr>
        <w:tc>
          <w:tcPr>
            <w:tcW w:w="3114" w:type="pct"/>
            <w:noWrap/>
            <w:vAlign w:val="bottom"/>
            <w:hideMark/>
          </w:tcPr>
          <w:p w14:paraId="4FAAD79D"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Best cutoff point</w:t>
            </w:r>
          </w:p>
        </w:tc>
        <w:tc>
          <w:tcPr>
            <w:tcW w:w="1886" w:type="pct"/>
            <w:noWrap/>
            <w:vAlign w:val="bottom"/>
            <w:hideMark/>
          </w:tcPr>
          <w:p w14:paraId="681E91D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&gt;8.98</w:t>
            </w:r>
          </w:p>
        </w:tc>
      </w:tr>
      <w:tr w:rsidR="00AE0505" w:rsidRPr="00C70B7C" w14:paraId="672ACF6E" w14:textId="77777777" w:rsidTr="00BC40D3">
        <w:trPr>
          <w:trHeight w:val="290"/>
          <w:jc w:val="center"/>
        </w:trPr>
        <w:tc>
          <w:tcPr>
            <w:tcW w:w="3114" w:type="pct"/>
            <w:noWrap/>
            <w:vAlign w:val="bottom"/>
            <w:hideMark/>
          </w:tcPr>
          <w:p w14:paraId="19EF61B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Sensitivity</w:t>
            </w:r>
          </w:p>
        </w:tc>
        <w:tc>
          <w:tcPr>
            <w:tcW w:w="1886" w:type="pct"/>
            <w:noWrap/>
            <w:vAlign w:val="bottom"/>
            <w:hideMark/>
          </w:tcPr>
          <w:p w14:paraId="0F84728A"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49.06 %</w:t>
            </w:r>
          </w:p>
        </w:tc>
      </w:tr>
      <w:tr w:rsidR="00AE0505" w:rsidRPr="00C70B7C" w14:paraId="12DD0FFE" w14:textId="77777777" w:rsidTr="00BC40D3">
        <w:trPr>
          <w:trHeight w:val="290"/>
          <w:jc w:val="center"/>
        </w:trPr>
        <w:tc>
          <w:tcPr>
            <w:tcW w:w="3114" w:type="pct"/>
            <w:noWrap/>
            <w:vAlign w:val="bottom"/>
            <w:hideMark/>
          </w:tcPr>
          <w:p w14:paraId="70648ABF"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Specificity</w:t>
            </w:r>
          </w:p>
        </w:tc>
        <w:tc>
          <w:tcPr>
            <w:tcW w:w="1886" w:type="pct"/>
            <w:noWrap/>
            <w:vAlign w:val="bottom"/>
            <w:hideMark/>
          </w:tcPr>
          <w:p w14:paraId="5C2BAEC8"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82.44 %</w:t>
            </w:r>
          </w:p>
        </w:tc>
      </w:tr>
      <w:tr w:rsidR="00AE0505" w:rsidRPr="00C70B7C" w14:paraId="219DF25C" w14:textId="77777777" w:rsidTr="00BC40D3">
        <w:trPr>
          <w:trHeight w:val="290"/>
          <w:jc w:val="center"/>
        </w:trPr>
        <w:tc>
          <w:tcPr>
            <w:tcW w:w="3114" w:type="pct"/>
            <w:noWrap/>
            <w:vAlign w:val="bottom"/>
            <w:hideMark/>
          </w:tcPr>
          <w:p w14:paraId="45BB34E0"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PPV</w:t>
            </w:r>
          </w:p>
        </w:tc>
        <w:tc>
          <w:tcPr>
            <w:tcW w:w="1886" w:type="pct"/>
            <w:noWrap/>
            <w:vAlign w:val="bottom"/>
            <w:hideMark/>
          </w:tcPr>
          <w:p w14:paraId="39E858A8"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36.1 %</w:t>
            </w:r>
          </w:p>
        </w:tc>
      </w:tr>
      <w:tr w:rsidR="00AE0505" w:rsidRPr="00C70B7C" w14:paraId="4C661C18" w14:textId="77777777" w:rsidTr="00BC40D3">
        <w:trPr>
          <w:trHeight w:val="290"/>
          <w:jc w:val="center"/>
        </w:trPr>
        <w:tc>
          <w:tcPr>
            <w:tcW w:w="3114" w:type="pct"/>
            <w:noWrap/>
            <w:vAlign w:val="bottom"/>
            <w:hideMark/>
          </w:tcPr>
          <w:p w14:paraId="43677848"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NPV</w:t>
            </w:r>
          </w:p>
        </w:tc>
        <w:tc>
          <w:tcPr>
            <w:tcW w:w="1886" w:type="pct"/>
            <w:noWrap/>
            <w:vAlign w:val="bottom"/>
            <w:hideMark/>
          </w:tcPr>
          <w:p w14:paraId="737E3938"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sz w:val="24"/>
                <w:szCs w:val="24"/>
              </w:rPr>
              <w:t>88.9 %</w:t>
            </w:r>
          </w:p>
        </w:tc>
      </w:tr>
      <w:tr w:rsidR="00AE0505" w:rsidRPr="00C70B7C" w14:paraId="14EE2C1F" w14:textId="77777777" w:rsidTr="00BC40D3">
        <w:trPr>
          <w:trHeight w:val="290"/>
          <w:jc w:val="center"/>
        </w:trPr>
        <w:tc>
          <w:tcPr>
            <w:tcW w:w="3114" w:type="pct"/>
            <w:noWrap/>
            <w:vAlign w:val="bottom"/>
            <w:hideMark/>
          </w:tcPr>
          <w:p w14:paraId="04509D3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w:t>
            </w:r>
          </w:p>
        </w:tc>
        <w:tc>
          <w:tcPr>
            <w:tcW w:w="1886" w:type="pct"/>
            <w:noWrap/>
            <w:vAlign w:val="bottom"/>
            <w:hideMark/>
          </w:tcPr>
          <w:p w14:paraId="23ABE7F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bl>
    <w:p w14:paraId="101F68BF" w14:textId="77777777" w:rsidR="00AE0505" w:rsidRPr="00C70B7C" w:rsidRDefault="00AE0505" w:rsidP="00C70B7C">
      <w:pPr>
        <w:pStyle w:val="P"/>
        <w:spacing w:before="120" w:after="240" w:line="360" w:lineRule="auto"/>
        <w:jc w:val="both"/>
        <w:rPr>
          <w:rFonts w:asciiTheme="majorBidi" w:hAnsiTheme="majorBidi" w:cstheme="majorBidi"/>
          <w:lang w:val="en-GB"/>
        </w:rPr>
      </w:pPr>
    </w:p>
    <w:p w14:paraId="306C09A6" w14:textId="6B5EA302" w:rsidR="00AE0505" w:rsidRPr="00C70B7C" w:rsidRDefault="00C70B7C" w:rsidP="00C70B7C">
      <w:pPr>
        <w:pStyle w:val="P"/>
        <w:spacing w:before="120" w:after="240" w:line="360" w:lineRule="auto"/>
        <w:jc w:val="both"/>
        <w:rPr>
          <w:rFonts w:asciiTheme="majorBidi" w:hAnsiTheme="majorBidi" w:cstheme="majorBidi"/>
          <w:b/>
          <w:bCs/>
        </w:rPr>
      </w:pPr>
      <w:r w:rsidRPr="00C70B7C">
        <w:rPr>
          <w:rFonts w:asciiTheme="majorBidi" w:hAnsiTheme="majorBidi" w:cstheme="majorBidi"/>
          <w:b/>
          <w:bCs/>
          <w:lang w:val="en-GB"/>
        </w:rPr>
        <w:t xml:space="preserve"> </w:t>
      </w:r>
      <w:r w:rsidR="0086027F" w:rsidRPr="00C70B7C">
        <w:rPr>
          <w:rFonts w:asciiTheme="majorBidi" w:hAnsiTheme="majorBidi" w:cstheme="majorBidi"/>
          <w:b/>
          <w:bCs/>
        </w:rPr>
        <w:t>Table 5: Multivariate logistic regression analysis to predict composite MACE - in hospital.</w:t>
      </w:r>
    </w:p>
    <w:tbl>
      <w:tblPr>
        <w:tblW w:w="3152" w:type="pct"/>
        <w:jc w:val="center"/>
        <w:tblBorders>
          <w:top w:val="single" w:sz="4" w:space="0" w:color="auto"/>
          <w:bottom w:val="single" w:sz="4" w:space="0" w:color="auto"/>
        </w:tblBorders>
        <w:tblLook w:val="04A0" w:firstRow="1" w:lastRow="0" w:firstColumn="1" w:lastColumn="0" w:noHBand="0" w:noVBand="1"/>
      </w:tblPr>
      <w:tblGrid>
        <w:gridCol w:w="2448"/>
        <w:gridCol w:w="2576"/>
        <w:gridCol w:w="1013"/>
      </w:tblGrid>
      <w:tr w:rsidR="00AE0505" w:rsidRPr="00C70B7C" w14:paraId="65B62426" w14:textId="77777777" w:rsidTr="00BC40D3">
        <w:trPr>
          <w:trHeight w:val="315"/>
          <w:jc w:val="center"/>
        </w:trPr>
        <w:tc>
          <w:tcPr>
            <w:tcW w:w="2167" w:type="pct"/>
            <w:tcBorders>
              <w:top w:val="single" w:sz="4" w:space="0" w:color="auto"/>
              <w:bottom w:val="single" w:sz="4" w:space="0" w:color="auto"/>
            </w:tcBorders>
            <w:noWrap/>
            <w:vAlign w:val="bottom"/>
            <w:hideMark/>
          </w:tcPr>
          <w:p w14:paraId="3BBAF51B"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2272" w:type="pct"/>
            <w:tcBorders>
              <w:top w:val="single" w:sz="4" w:space="0" w:color="auto"/>
              <w:bottom w:val="single" w:sz="4" w:space="0" w:color="auto"/>
            </w:tcBorders>
            <w:noWrap/>
            <w:vAlign w:val="center"/>
            <w:hideMark/>
          </w:tcPr>
          <w:p w14:paraId="0E59D172"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OR (95% CI)</w:t>
            </w:r>
          </w:p>
        </w:tc>
        <w:tc>
          <w:tcPr>
            <w:tcW w:w="561" w:type="pct"/>
            <w:tcBorders>
              <w:top w:val="single" w:sz="4" w:space="0" w:color="auto"/>
              <w:bottom w:val="single" w:sz="4" w:space="0" w:color="auto"/>
            </w:tcBorders>
            <w:noWrap/>
            <w:vAlign w:val="center"/>
            <w:hideMark/>
          </w:tcPr>
          <w:p w14:paraId="26C4C49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w:t>
            </w:r>
          </w:p>
        </w:tc>
      </w:tr>
      <w:tr w:rsidR="00AE0505" w:rsidRPr="00C70B7C" w14:paraId="2A4F02BF" w14:textId="77777777" w:rsidTr="00BC40D3">
        <w:trPr>
          <w:trHeight w:val="315"/>
          <w:jc w:val="center"/>
        </w:trPr>
        <w:tc>
          <w:tcPr>
            <w:tcW w:w="2167" w:type="pct"/>
            <w:tcBorders>
              <w:top w:val="single" w:sz="4" w:space="0" w:color="auto"/>
            </w:tcBorders>
            <w:noWrap/>
            <w:vAlign w:val="bottom"/>
            <w:hideMark/>
          </w:tcPr>
          <w:p w14:paraId="1795C376"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Age (years)</w:t>
            </w:r>
          </w:p>
        </w:tc>
        <w:tc>
          <w:tcPr>
            <w:tcW w:w="2272" w:type="pct"/>
            <w:tcBorders>
              <w:top w:val="single" w:sz="4" w:space="0" w:color="auto"/>
            </w:tcBorders>
            <w:noWrap/>
            <w:vAlign w:val="center"/>
            <w:hideMark/>
          </w:tcPr>
          <w:p w14:paraId="677850C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1.025 (0.994 - 1.056)</w:t>
            </w:r>
          </w:p>
        </w:tc>
        <w:tc>
          <w:tcPr>
            <w:tcW w:w="561" w:type="pct"/>
            <w:tcBorders>
              <w:top w:val="single" w:sz="4" w:space="0" w:color="auto"/>
            </w:tcBorders>
            <w:noWrap/>
            <w:vAlign w:val="bottom"/>
            <w:hideMark/>
          </w:tcPr>
          <w:p w14:paraId="0DC06E2A"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0.111</w:t>
            </w:r>
          </w:p>
        </w:tc>
      </w:tr>
      <w:tr w:rsidR="00AE0505" w:rsidRPr="00C70B7C" w14:paraId="5C3F122F" w14:textId="77777777" w:rsidTr="00BC40D3">
        <w:trPr>
          <w:trHeight w:val="315"/>
          <w:jc w:val="center"/>
        </w:trPr>
        <w:tc>
          <w:tcPr>
            <w:tcW w:w="2167" w:type="pct"/>
            <w:noWrap/>
            <w:vAlign w:val="bottom"/>
            <w:hideMark/>
          </w:tcPr>
          <w:p w14:paraId="342929C9"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Gender</w:t>
            </w:r>
          </w:p>
        </w:tc>
        <w:tc>
          <w:tcPr>
            <w:tcW w:w="2272" w:type="pct"/>
            <w:noWrap/>
            <w:vAlign w:val="center"/>
            <w:hideMark/>
          </w:tcPr>
          <w:p w14:paraId="2A34DA0A"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0.969 (0.344 - 2.727)</w:t>
            </w:r>
          </w:p>
        </w:tc>
        <w:tc>
          <w:tcPr>
            <w:tcW w:w="561" w:type="pct"/>
            <w:noWrap/>
            <w:vAlign w:val="bottom"/>
            <w:hideMark/>
          </w:tcPr>
          <w:p w14:paraId="489D7930"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0.952</w:t>
            </w:r>
          </w:p>
        </w:tc>
      </w:tr>
      <w:tr w:rsidR="00AE0505" w:rsidRPr="00C70B7C" w14:paraId="4D692ADA" w14:textId="77777777" w:rsidTr="00BC40D3">
        <w:trPr>
          <w:trHeight w:val="315"/>
          <w:jc w:val="center"/>
        </w:trPr>
        <w:tc>
          <w:tcPr>
            <w:tcW w:w="2167" w:type="pct"/>
            <w:noWrap/>
            <w:vAlign w:val="bottom"/>
            <w:hideMark/>
          </w:tcPr>
          <w:p w14:paraId="7AA9768D"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Body Mass Index</w:t>
            </w:r>
          </w:p>
        </w:tc>
        <w:tc>
          <w:tcPr>
            <w:tcW w:w="2272" w:type="pct"/>
            <w:noWrap/>
            <w:vAlign w:val="center"/>
            <w:hideMark/>
          </w:tcPr>
          <w:p w14:paraId="52360B7D"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1.022 (0.959 - 1.088)</w:t>
            </w:r>
          </w:p>
        </w:tc>
        <w:tc>
          <w:tcPr>
            <w:tcW w:w="561" w:type="pct"/>
            <w:noWrap/>
            <w:vAlign w:val="bottom"/>
            <w:hideMark/>
          </w:tcPr>
          <w:p w14:paraId="7E63957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0.502</w:t>
            </w:r>
          </w:p>
        </w:tc>
      </w:tr>
      <w:tr w:rsidR="00AE0505" w:rsidRPr="00C70B7C" w14:paraId="10E8033E" w14:textId="77777777" w:rsidTr="00BC40D3">
        <w:trPr>
          <w:trHeight w:val="315"/>
          <w:jc w:val="center"/>
        </w:trPr>
        <w:tc>
          <w:tcPr>
            <w:tcW w:w="2167" w:type="pct"/>
            <w:noWrap/>
            <w:vAlign w:val="bottom"/>
            <w:hideMark/>
          </w:tcPr>
          <w:p w14:paraId="569DD186"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Smoking</w:t>
            </w:r>
          </w:p>
        </w:tc>
        <w:tc>
          <w:tcPr>
            <w:tcW w:w="2272" w:type="pct"/>
            <w:noWrap/>
            <w:vAlign w:val="center"/>
            <w:hideMark/>
          </w:tcPr>
          <w:p w14:paraId="7F7BE3D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0.665 (0.24 - 1.849)</w:t>
            </w:r>
          </w:p>
        </w:tc>
        <w:tc>
          <w:tcPr>
            <w:tcW w:w="561" w:type="pct"/>
            <w:noWrap/>
            <w:vAlign w:val="bottom"/>
            <w:hideMark/>
          </w:tcPr>
          <w:p w14:paraId="4EE060A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0.435</w:t>
            </w:r>
          </w:p>
        </w:tc>
      </w:tr>
      <w:tr w:rsidR="00AE0505" w:rsidRPr="00C70B7C" w14:paraId="2E00B0C0" w14:textId="77777777" w:rsidTr="00BC40D3">
        <w:trPr>
          <w:trHeight w:val="315"/>
          <w:jc w:val="center"/>
        </w:trPr>
        <w:tc>
          <w:tcPr>
            <w:tcW w:w="2167" w:type="pct"/>
            <w:noWrap/>
            <w:vAlign w:val="bottom"/>
            <w:hideMark/>
          </w:tcPr>
          <w:p w14:paraId="2FD1139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Hypertension</w:t>
            </w:r>
          </w:p>
        </w:tc>
        <w:tc>
          <w:tcPr>
            <w:tcW w:w="2272" w:type="pct"/>
            <w:noWrap/>
            <w:vAlign w:val="center"/>
            <w:hideMark/>
          </w:tcPr>
          <w:p w14:paraId="02E8D522"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0.437 (0.225 - 0.849)</w:t>
            </w:r>
          </w:p>
        </w:tc>
        <w:tc>
          <w:tcPr>
            <w:tcW w:w="561" w:type="pct"/>
            <w:noWrap/>
            <w:vAlign w:val="bottom"/>
            <w:hideMark/>
          </w:tcPr>
          <w:p w14:paraId="39452DF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0.015*</w:t>
            </w:r>
          </w:p>
        </w:tc>
      </w:tr>
      <w:tr w:rsidR="00AE0505" w:rsidRPr="00C70B7C" w14:paraId="2DF1FEDC" w14:textId="77777777" w:rsidTr="00BC40D3">
        <w:trPr>
          <w:trHeight w:val="315"/>
          <w:jc w:val="center"/>
        </w:trPr>
        <w:tc>
          <w:tcPr>
            <w:tcW w:w="2167" w:type="pct"/>
            <w:noWrap/>
            <w:vAlign w:val="bottom"/>
            <w:hideMark/>
          </w:tcPr>
          <w:p w14:paraId="6B898EB0"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Diabetes mellitus</w:t>
            </w:r>
          </w:p>
        </w:tc>
        <w:tc>
          <w:tcPr>
            <w:tcW w:w="2272" w:type="pct"/>
            <w:noWrap/>
            <w:vAlign w:val="center"/>
            <w:hideMark/>
          </w:tcPr>
          <w:p w14:paraId="1733E71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0.486 (0.185 - 1.272)</w:t>
            </w:r>
          </w:p>
        </w:tc>
        <w:tc>
          <w:tcPr>
            <w:tcW w:w="561" w:type="pct"/>
            <w:noWrap/>
            <w:vAlign w:val="bottom"/>
            <w:hideMark/>
          </w:tcPr>
          <w:p w14:paraId="3D34CEE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0.141</w:t>
            </w:r>
          </w:p>
        </w:tc>
      </w:tr>
      <w:tr w:rsidR="00AE0505" w:rsidRPr="00C70B7C" w14:paraId="2618F888" w14:textId="77777777" w:rsidTr="00BC40D3">
        <w:trPr>
          <w:trHeight w:val="315"/>
          <w:jc w:val="center"/>
        </w:trPr>
        <w:tc>
          <w:tcPr>
            <w:tcW w:w="2167" w:type="pct"/>
            <w:noWrap/>
            <w:vAlign w:val="bottom"/>
            <w:hideMark/>
          </w:tcPr>
          <w:p w14:paraId="37CB055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Other comorbidities</w:t>
            </w:r>
          </w:p>
        </w:tc>
        <w:tc>
          <w:tcPr>
            <w:tcW w:w="2272" w:type="pct"/>
            <w:noWrap/>
            <w:vAlign w:val="center"/>
            <w:hideMark/>
          </w:tcPr>
          <w:p w14:paraId="0298455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0.29 (0.077 - 1.087)</w:t>
            </w:r>
          </w:p>
        </w:tc>
        <w:tc>
          <w:tcPr>
            <w:tcW w:w="561" w:type="pct"/>
            <w:noWrap/>
            <w:vAlign w:val="bottom"/>
            <w:hideMark/>
          </w:tcPr>
          <w:p w14:paraId="26A86AE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0.066</w:t>
            </w:r>
          </w:p>
        </w:tc>
      </w:tr>
      <w:tr w:rsidR="00AE0505" w:rsidRPr="00C70B7C" w14:paraId="09E25092" w14:textId="77777777" w:rsidTr="00BC40D3">
        <w:trPr>
          <w:trHeight w:val="315"/>
          <w:jc w:val="center"/>
        </w:trPr>
        <w:tc>
          <w:tcPr>
            <w:tcW w:w="2167" w:type="pct"/>
            <w:noWrap/>
            <w:vAlign w:val="bottom"/>
            <w:hideMark/>
          </w:tcPr>
          <w:p w14:paraId="27034C21"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TyG index</w:t>
            </w:r>
          </w:p>
        </w:tc>
        <w:tc>
          <w:tcPr>
            <w:tcW w:w="2272" w:type="pct"/>
            <w:noWrap/>
            <w:vAlign w:val="center"/>
            <w:hideMark/>
          </w:tcPr>
          <w:p w14:paraId="448C55D8"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12.861 (4.03 - 41.043)</w:t>
            </w:r>
          </w:p>
        </w:tc>
        <w:tc>
          <w:tcPr>
            <w:tcW w:w="561" w:type="pct"/>
            <w:noWrap/>
            <w:vAlign w:val="center"/>
            <w:hideMark/>
          </w:tcPr>
          <w:p w14:paraId="56C620B9"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bl>
    <w:p w14:paraId="4A39B214" w14:textId="77777777" w:rsidR="00AE0505" w:rsidRPr="00C70B7C" w:rsidRDefault="0086027F" w:rsidP="00C70B7C">
      <w:pPr>
        <w:spacing w:before="120" w:after="240" w:line="360" w:lineRule="auto"/>
        <w:jc w:val="both"/>
        <w:rPr>
          <w:rFonts w:asciiTheme="majorBidi" w:eastAsia="Aptos" w:hAnsiTheme="majorBidi" w:cstheme="majorBidi"/>
          <w:b/>
          <w:bCs/>
          <w:sz w:val="24"/>
          <w:szCs w:val="24"/>
        </w:rPr>
      </w:pPr>
      <w:r w:rsidRPr="00C70B7C">
        <w:rPr>
          <w:rFonts w:asciiTheme="majorBidi" w:eastAsia="Aptos" w:hAnsiTheme="majorBidi" w:cstheme="majorBidi"/>
          <w:sz w:val="24"/>
          <w:szCs w:val="24"/>
        </w:rPr>
        <w:br w:type="page"/>
      </w:r>
    </w:p>
    <w:p w14:paraId="22717638" w14:textId="77777777" w:rsidR="00AE0505" w:rsidRPr="00C70B7C" w:rsidRDefault="0086027F" w:rsidP="00C70B7C">
      <w:pPr>
        <w:pStyle w:val="ac"/>
        <w:keepNext w:val="0"/>
        <w:spacing w:before="120" w:after="240"/>
        <w:rPr>
          <w:rFonts w:asciiTheme="majorBidi" w:hAnsiTheme="majorBidi" w:cstheme="majorBidi"/>
          <w:rtl/>
          <w:lang w:bidi="ar-EG"/>
        </w:rPr>
      </w:pPr>
      <w:r w:rsidRPr="00C70B7C">
        <w:rPr>
          <w:rFonts w:asciiTheme="majorBidi" w:hAnsiTheme="majorBidi" w:cstheme="majorBidi"/>
        </w:rPr>
        <w:lastRenderedPageBreak/>
        <w:t>Table 6: Multivariate linear regression analysis to predict GLS.</w:t>
      </w:r>
    </w:p>
    <w:tbl>
      <w:tblPr>
        <w:tblW w:w="3027" w:type="pct"/>
        <w:jc w:val="center"/>
        <w:tblBorders>
          <w:top w:val="single" w:sz="4" w:space="0" w:color="auto"/>
          <w:bottom w:val="single" w:sz="4" w:space="0" w:color="auto"/>
        </w:tblBorders>
        <w:tblLook w:val="04A0" w:firstRow="1" w:lastRow="0" w:firstColumn="1" w:lastColumn="0" w:noHBand="0" w:noVBand="1"/>
      </w:tblPr>
      <w:tblGrid>
        <w:gridCol w:w="2289"/>
        <w:gridCol w:w="2496"/>
        <w:gridCol w:w="1013"/>
      </w:tblGrid>
      <w:tr w:rsidR="00C70B7C" w:rsidRPr="00C70B7C" w14:paraId="6F926137" w14:textId="77777777" w:rsidTr="00F870E6">
        <w:trPr>
          <w:trHeight w:val="315"/>
          <w:jc w:val="center"/>
        </w:trPr>
        <w:tc>
          <w:tcPr>
            <w:tcW w:w="1974" w:type="pct"/>
            <w:tcBorders>
              <w:top w:val="single" w:sz="4" w:space="0" w:color="auto"/>
              <w:bottom w:val="single" w:sz="4" w:space="0" w:color="auto"/>
            </w:tcBorders>
            <w:noWrap/>
            <w:vAlign w:val="bottom"/>
            <w:hideMark/>
          </w:tcPr>
          <w:p w14:paraId="75D10AB9" w14:textId="77777777" w:rsidR="00AE0505" w:rsidRPr="00C70B7C" w:rsidRDefault="00AE0505" w:rsidP="00C70B7C">
            <w:pPr>
              <w:spacing w:after="0" w:line="240" w:lineRule="auto"/>
              <w:jc w:val="both"/>
              <w:rPr>
                <w:rFonts w:asciiTheme="majorBidi" w:eastAsia="Times New Roman" w:hAnsiTheme="majorBidi" w:cstheme="majorBidi"/>
                <w:sz w:val="24"/>
                <w:szCs w:val="24"/>
              </w:rPr>
            </w:pPr>
          </w:p>
        </w:tc>
        <w:tc>
          <w:tcPr>
            <w:tcW w:w="2152" w:type="pct"/>
            <w:tcBorders>
              <w:top w:val="single" w:sz="4" w:space="0" w:color="auto"/>
              <w:bottom w:val="single" w:sz="4" w:space="0" w:color="auto"/>
            </w:tcBorders>
            <w:noWrap/>
            <w:vAlign w:val="center"/>
            <w:hideMark/>
          </w:tcPr>
          <w:p w14:paraId="6F9546E0"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B (95% CI)</w:t>
            </w:r>
          </w:p>
        </w:tc>
        <w:tc>
          <w:tcPr>
            <w:tcW w:w="874" w:type="pct"/>
            <w:tcBorders>
              <w:top w:val="single" w:sz="4" w:space="0" w:color="auto"/>
              <w:bottom w:val="single" w:sz="4" w:space="0" w:color="auto"/>
            </w:tcBorders>
            <w:noWrap/>
            <w:vAlign w:val="center"/>
            <w:hideMark/>
          </w:tcPr>
          <w:p w14:paraId="4CCD005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P</w:t>
            </w:r>
          </w:p>
        </w:tc>
      </w:tr>
      <w:tr w:rsidR="00AE0505" w:rsidRPr="00C70B7C" w14:paraId="280CB575" w14:textId="77777777" w:rsidTr="00F870E6">
        <w:trPr>
          <w:trHeight w:val="315"/>
          <w:jc w:val="center"/>
        </w:trPr>
        <w:tc>
          <w:tcPr>
            <w:tcW w:w="1974" w:type="pct"/>
            <w:tcBorders>
              <w:top w:val="single" w:sz="4" w:space="0" w:color="auto"/>
            </w:tcBorders>
            <w:noWrap/>
            <w:vAlign w:val="bottom"/>
            <w:hideMark/>
          </w:tcPr>
          <w:p w14:paraId="5DA87EDA"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Age (years)</w:t>
            </w:r>
          </w:p>
        </w:tc>
        <w:tc>
          <w:tcPr>
            <w:tcW w:w="2152" w:type="pct"/>
            <w:tcBorders>
              <w:top w:val="single" w:sz="4" w:space="0" w:color="auto"/>
            </w:tcBorders>
            <w:noWrap/>
            <w:vAlign w:val="center"/>
            <w:hideMark/>
          </w:tcPr>
          <w:p w14:paraId="24176569"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-0.01 (-0.04 - 0.02)</w:t>
            </w:r>
          </w:p>
        </w:tc>
        <w:tc>
          <w:tcPr>
            <w:tcW w:w="874" w:type="pct"/>
            <w:tcBorders>
              <w:top w:val="single" w:sz="4" w:space="0" w:color="auto"/>
            </w:tcBorders>
            <w:noWrap/>
            <w:vAlign w:val="bottom"/>
            <w:hideMark/>
          </w:tcPr>
          <w:p w14:paraId="309A3C6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0.5</w:t>
            </w:r>
          </w:p>
        </w:tc>
      </w:tr>
      <w:tr w:rsidR="00AE0505" w:rsidRPr="00C70B7C" w14:paraId="0345E27F" w14:textId="77777777" w:rsidTr="00F870E6">
        <w:trPr>
          <w:trHeight w:val="315"/>
          <w:jc w:val="center"/>
        </w:trPr>
        <w:tc>
          <w:tcPr>
            <w:tcW w:w="1974" w:type="pct"/>
            <w:noWrap/>
            <w:vAlign w:val="bottom"/>
            <w:hideMark/>
          </w:tcPr>
          <w:p w14:paraId="0A9A022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Female gender</w:t>
            </w:r>
          </w:p>
        </w:tc>
        <w:tc>
          <w:tcPr>
            <w:tcW w:w="2152" w:type="pct"/>
            <w:noWrap/>
            <w:vAlign w:val="center"/>
            <w:hideMark/>
          </w:tcPr>
          <w:p w14:paraId="515151EE"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1.515 (0.475 - 2.554)</w:t>
            </w:r>
          </w:p>
        </w:tc>
        <w:tc>
          <w:tcPr>
            <w:tcW w:w="874" w:type="pct"/>
            <w:noWrap/>
            <w:vAlign w:val="bottom"/>
            <w:hideMark/>
          </w:tcPr>
          <w:p w14:paraId="37C10768"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0.004*</w:t>
            </w:r>
          </w:p>
        </w:tc>
      </w:tr>
      <w:tr w:rsidR="00AE0505" w:rsidRPr="00C70B7C" w14:paraId="2CCF7710" w14:textId="77777777" w:rsidTr="00F870E6">
        <w:trPr>
          <w:trHeight w:val="315"/>
          <w:jc w:val="center"/>
        </w:trPr>
        <w:tc>
          <w:tcPr>
            <w:tcW w:w="1974" w:type="pct"/>
            <w:noWrap/>
            <w:vAlign w:val="bottom"/>
            <w:hideMark/>
          </w:tcPr>
          <w:p w14:paraId="2B0EE114"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Body Mass Index</w:t>
            </w:r>
          </w:p>
        </w:tc>
        <w:tc>
          <w:tcPr>
            <w:tcW w:w="2152" w:type="pct"/>
            <w:noWrap/>
            <w:vAlign w:val="center"/>
            <w:hideMark/>
          </w:tcPr>
          <w:p w14:paraId="74DD85EB"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-0.049 (-0.109 - 0.012)</w:t>
            </w:r>
          </w:p>
        </w:tc>
        <w:tc>
          <w:tcPr>
            <w:tcW w:w="874" w:type="pct"/>
            <w:noWrap/>
            <w:vAlign w:val="bottom"/>
            <w:hideMark/>
          </w:tcPr>
          <w:p w14:paraId="71678E6A"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0.114</w:t>
            </w:r>
          </w:p>
        </w:tc>
      </w:tr>
      <w:tr w:rsidR="00AE0505" w:rsidRPr="00C70B7C" w14:paraId="2280E35F" w14:textId="77777777" w:rsidTr="00F870E6">
        <w:trPr>
          <w:trHeight w:val="315"/>
          <w:jc w:val="center"/>
        </w:trPr>
        <w:tc>
          <w:tcPr>
            <w:tcW w:w="1974" w:type="pct"/>
            <w:noWrap/>
            <w:vAlign w:val="bottom"/>
            <w:hideMark/>
          </w:tcPr>
          <w:p w14:paraId="2E1772B6"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Smoking</w:t>
            </w:r>
          </w:p>
        </w:tc>
        <w:tc>
          <w:tcPr>
            <w:tcW w:w="2152" w:type="pct"/>
            <w:noWrap/>
            <w:vAlign w:val="center"/>
            <w:hideMark/>
          </w:tcPr>
          <w:p w14:paraId="5498780C"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0.297 (-0.733 - 1.327)</w:t>
            </w:r>
          </w:p>
        </w:tc>
        <w:tc>
          <w:tcPr>
            <w:tcW w:w="874" w:type="pct"/>
            <w:noWrap/>
            <w:vAlign w:val="bottom"/>
            <w:hideMark/>
          </w:tcPr>
          <w:p w14:paraId="78424C95"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0.571</w:t>
            </w:r>
          </w:p>
        </w:tc>
      </w:tr>
      <w:tr w:rsidR="00AE0505" w:rsidRPr="00C70B7C" w14:paraId="6551CCA9" w14:textId="77777777" w:rsidTr="00F870E6">
        <w:trPr>
          <w:trHeight w:val="315"/>
          <w:jc w:val="center"/>
        </w:trPr>
        <w:tc>
          <w:tcPr>
            <w:tcW w:w="1974" w:type="pct"/>
            <w:noWrap/>
            <w:vAlign w:val="bottom"/>
            <w:hideMark/>
          </w:tcPr>
          <w:p w14:paraId="459F7513"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Hypertension</w:t>
            </w:r>
          </w:p>
        </w:tc>
        <w:tc>
          <w:tcPr>
            <w:tcW w:w="2152" w:type="pct"/>
            <w:noWrap/>
            <w:vAlign w:val="center"/>
            <w:hideMark/>
          </w:tcPr>
          <w:p w14:paraId="115B3146"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0.642 (0.012 - 1.271)</w:t>
            </w:r>
          </w:p>
        </w:tc>
        <w:tc>
          <w:tcPr>
            <w:tcW w:w="874" w:type="pct"/>
            <w:noWrap/>
            <w:vAlign w:val="bottom"/>
            <w:hideMark/>
          </w:tcPr>
          <w:p w14:paraId="727DF5F6"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0.046*</w:t>
            </w:r>
          </w:p>
        </w:tc>
      </w:tr>
      <w:tr w:rsidR="00AE0505" w:rsidRPr="00C70B7C" w14:paraId="63CEB0B4" w14:textId="77777777" w:rsidTr="00F870E6">
        <w:trPr>
          <w:trHeight w:val="315"/>
          <w:jc w:val="center"/>
        </w:trPr>
        <w:tc>
          <w:tcPr>
            <w:tcW w:w="1974" w:type="pct"/>
            <w:noWrap/>
            <w:vAlign w:val="bottom"/>
            <w:hideMark/>
          </w:tcPr>
          <w:p w14:paraId="0E2557A0"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Diabetes mellitus</w:t>
            </w:r>
          </w:p>
        </w:tc>
        <w:tc>
          <w:tcPr>
            <w:tcW w:w="2152" w:type="pct"/>
            <w:noWrap/>
            <w:vAlign w:val="center"/>
            <w:hideMark/>
          </w:tcPr>
          <w:p w14:paraId="499F3BA3"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1.11 (0.233 - 1.987)</w:t>
            </w:r>
          </w:p>
        </w:tc>
        <w:tc>
          <w:tcPr>
            <w:tcW w:w="874" w:type="pct"/>
            <w:noWrap/>
            <w:vAlign w:val="bottom"/>
            <w:hideMark/>
          </w:tcPr>
          <w:p w14:paraId="7CBFC3FD"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0.013*</w:t>
            </w:r>
          </w:p>
        </w:tc>
      </w:tr>
      <w:tr w:rsidR="00AE0505" w:rsidRPr="00C70B7C" w14:paraId="0A5A6491" w14:textId="77777777" w:rsidTr="00F870E6">
        <w:trPr>
          <w:trHeight w:val="315"/>
          <w:jc w:val="center"/>
        </w:trPr>
        <w:tc>
          <w:tcPr>
            <w:tcW w:w="1974" w:type="pct"/>
            <w:noWrap/>
            <w:vAlign w:val="bottom"/>
            <w:hideMark/>
          </w:tcPr>
          <w:p w14:paraId="0B5DC388"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Other comorbidities</w:t>
            </w:r>
          </w:p>
        </w:tc>
        <w:tc>
          <w:tcPr>
            <w:tcW w:w="2152" w:type="pct"/>
            <w:noWrap/>
            <w:vAlign w:val="center"/>
            <w:hideMark/>
          </w:tcPr>
          <w:p w14:paraId="2722FF97"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0.665 (-0.338 - 1.667)</w:t>
            </w:r>
          </w:p>
        </w:tc>
        <w:tc>
          <w:tcPr>
            <w:tcW w:w="874" w:type="pct"/>
            <w:noWrap/>
            <w:vAlign w:val="bottom"/>
            <w:hideMark/>
          </w:tcPr>
          <w:p w14:paraId="04B40CC4"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0.193</w:t>
            </w:r>
          </w:p>
        </w:tc>
      </w:tr>
      <w:tr w:rsidR="00AE0505" w:rsidRPr="00C70B7C" w14:paraId="749F19EF" w14:textId="77777777" w:rsidTr="00F870E6">
        <w:trPr>
          <w:trHeight w:val="315"/>
          <w:jc w:val="center"/>
        </w:trPr>
        <w:tc>
          <w:tcPr>
            <w:tcW w:w="1974" w:type="pct"/>
            <w:noWrap/>
            <w:vAlign w:val="bottom"/>
            <w:hideMark/>
          </w:tcPr>
          <w:p w14:paraId="48D0CC57"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TyG index</w:t>
            </w:r>
          </w:p>
        </w:tc>
        <w:tc>
          <w:tcPr>
            <w:tcW w:w="2152" w:type="pct"/>
            <w:noWrap/>
            <w:vAlign w:val="center"/>
            <w:hideMark/>
          </w:tcPr>
          <w:p w14:paraId="0D3C1241" w14:textId="77777777" w:rsidR="00AE0505" w:rsidRPr="00C70B7C" w:rsidRDefault="0086027F" w:rsidP="00C70B7C">
            <w:pPr>
              <w:spacing w:after="0" w:line="240" w:lineRule="auto"/>
              <w:jc w:val="both"/>
              <w:rPr>
                <w:rFonts w:asciiTheme="majorBidi" w:eastAsia="Times New Roman" w:hAnsiTheme="majorBidi" w:cstheme="majorBidi"/>
                <w:sz w:val="24"/>
                <w:szCs w:val="24"/>
              </w:rPr>
            </w:pPr>
            <w:r w:rsidRPr="00C70B7C">
              <w:rPr>
                <w:rFonts w:asciiTheme="majorBidi" w:eastAsia="Times New Roman" w:hAnsiTheme="majorBidi" w:cstheme="majorBidi"/>
                <w:sz w:val="24"/>
                <w:szCs w:val="24"/>
              </w:rPr>
              <w:t>-7.161 (-8.206 - -6.116)</w:t>
            </w:r>
          </w:p>
        </w:tc>
        <w:tc>
          <w:tcPr>
            <w:tcW w:w="874" w:type="pct"/>
            <w:noWrap/>
            <w:vAlign w:val="center"/>
            <w:hideMark/>
          </w:tcPr>
          <w:p w14:paraId="549509A0" w14:textId="77777777" w:rsidR="00AE0505" w:rsidRPr="00C70B7C" w:rsidRDefault="0086027F" w:rsidP="00C70B7C">
            <w:pPr>
              <w:spacing w:after="0" w:line="240" w:lineRule="auto"/>
              <w:jc w:val="both"/>
              <w:rPr>
                <w:rFonts w:asciiTheme="majorBidi" w:eastAsia="Times New Roman" w:hAnsiTheme="majorBidi" w:cstheme="majorBidi"/>
                <w:b/>
                <w:bCs/>
                <w:sz w:val="24"/>
                <w:szCs w:val="24"/>
              </w:rPr>
            </w:pPr>
            <w:r w:rsidRPr="00C70B7C">
              <w:rPr>
                <w:rFonts w:asciiTheme="majorBidi" w:eastAsia="Times New Roman" w:hAnsiTheme="majorBidi" w:cstheme="majorBidi"/>
                <w:b/>
                <w:bCs/>
                <w:sz w:val="24"/>
                <w:szCs w:val="24"/>
              </w:rPr>
              <w:t>&lt;0.001*</w:t>
            </w:r>
          </w:p>
        </w:tc>
      </w:tr>
    </w:tbl>
    <w:p w14:paraId="28DCA550" w14:textId="4522A4BD" w:rsidR="00D777D6" w:rsidRPr="009807DB" w:rsidRDefault="00D777D6" w:rsidP="00D777D6">
      <w:pPr>
        <w:spacing w:before="120" w:after="240" w:line="240" w:lineRule="auto"/>
        <w:jc w:val="center"/>
        <w:rPr>
          <w:rFonts w:asciiTheme="majorBidi" w:hAnsiTheme="majorBidi" w:cstheme="majorBidi"/>
          <w:sz w:val="28"/>
          <w:szCs w:val="28"/>
        </w:rPr>
      </w:pPr>
    </w:p>
    <w:p w14:paraId="40E8CF70" w14:textId="77777777" w:rsidR="00F870E6" w:rsidRDefault="00F870E6" w:rsidP="009120B5">
      <w:pPr>
        <w:pStyle w:val="ac"/>
        <w:keepNext w:val="0"/>
        <w:spacing w:before="120" w:after="240" w:line="240" w:lineRule="auto"/>
        <w:jc w:val="center"/>
        <w:rPr>
          <w:sz w:val="22"/>
          <w:szCs w:val="22"/>
        </w:rPr>
      </w:pPr>
      <w:r w:rsidRPr="009807DB">
        <w:rPr>
          <w:rFonts w:asciiTheme="majorBidi" w:hAnsiTheme="majorBidi" w:cstheme="majorBidi"/>
          <w:noProof/>
          <w:sz w:val="28"/>
          <w:szCs w:val="28"/>
        </w:rPr>
        <w:drawing>
          <wp:inline distT="0" distB="0" distL="0" distR="0" wp14:anchorId="78B791E4" wp14:editId="3564CE11">
            <wp:extent cx="4140200" cy="2077068"/>
            <wp:effectExtent l="19050" t="19050" r="12700" b="19050"/>
            <wp:docPr id="13591156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18318"/>
                    <a:stretch/>
                  </pic:blipFill>
                  <pic:spPr bwMode="auto">
                    <a:xfrm>
                      <a:off x="0" y="0"/>
                      <a:ext cx="4157955" cy="2085975"/>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33BEC222" w14:textId="77422DED" w:rsidR="00D777D6" w:rsidRPr="00941C98" w:rsidRDefault="00D777D6" w:rsidP="00F870E6">
      <w:pPr>
        <w:pStyle w:val="ac"/>
        <w:keepNext w:val="0"/>
        <w:spacing w:before="120" w:after="240" w:line="240" w:lineRule="auto"/>
        <w:ind w:firstLine="547"/>
        <w:jc w:val="center"/>
        <w:rPr>
          <w:sz w:val="22"/>
          <w:szCs w:val="22"/>
        </w:rPr>
      </w:pPr>
      <w:r w:rsidRPr="00941C98">
        <w:rPr>
          <w:sz w:val="22"/>
          <w:szCs w:val="22"/>
        </w:rPr>
        <w:t xml:space="preserve">Figure 1: </w:t>
      </w:r>
      <w:r w:rsidRPr="00941C98">
        <w:rPr>
          <w:b w:val="0"/>
          <w:bCs w:val="0"/>
          <w:sz w:val="22"/>
          <w:szCs w:val="22"/>
        </w:rPr>
        <w:t>Correlation between TyG index and GLS.</w:t>
      </w:r>
    </w:p>
    <w:p w14:paraId="382A648C" w14:textId="77777777" w:rsidR="00D777D6" w:rsidRPr="009807DB" w:rsidRDefault="00D777D6" w:rsidP="00D777D6">
      <w:pPr>
        <w:spacing w:line="240" w:lineRule="auto"/>
        <w:jc w:val="center"/>
        <w:rPr>
          <w:sz w:val="28"/>
          <w:szCs w:val="28"/>
        </w:rPr>
      </w:pPr>
      <w:r w:rsidRPr="009807DB">
        <w:rPr>
          <w:sz w:val="28"/>
          <w:szCs w:val="28"/>
        </w:rPr>
        <w:object w:dxaOrig="6601" w:dyaOrig="4803" w14:anchorId="101C4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76.55pt" o:ole="" o:bordertopcolor="this" o:borderleftcolor="this" o:borderbottomcolor="this" o:borderrightcolor="this">
            <v:imagedata r:id="rId9" o:title=""/>
            <w10:bordertop type="single" width="12"/>
            <w10:borderleft type="single" width="12"/>
            <w10:borderbottom type="single" width="12"/>
            <w10:borderright type="single" width="12"/>
          </v:shape>
          <o:OLEObject Type="Embed" ProgID="Prism8.Document" ShapeID="_x0000_i1025" DrawAspect="Content" ObjectID="_1816375470" r:id="rId10"/>
        </w:object>
      </w:r>
    </w:p>
    <w:p w14:paraId="4ADB997E" w14:textId="1BAC71CF" w:rsidR="00AE0505" w:rsidRDefault="00D777D6" w:rsidP="00D777D6">
      <w:pPr>
        <w:pStyle w:val="ac"/>
        <w:keepNext w:val="0"/>
        <w:spacing w:before="120"/>
        <w:ind w:firstLine="547"/>
        <w:jc w:val="center"/>
        <w:rPr>
          <w:rFonts w:asciiTheme="majorBidi" w:hAnsiTheme="majorBidi" w:cstheme="majorBidi"/>
          <w:lang w:bidi="ar-EG"/>
        </w:rPr>
      </w:pPr>
      <w:r w:rsidRPr="00941C98">
        <w:rPr>
          <w:sz w:val="22"/>
          <w:szCs w:val="22"/>
        </w:rPr>
        <w:t xml:space="preserve">Figure 2: </w:t>
      </w:r>
      <w:r w:rsidRPr="00941C98">
        <w:rPr>
          <w:b w:val="0"/>
          <w:bCs w:val="0"/>
          <w:sz w:val="22"/>
          <w:szCs w:val="22"/>
        </w:rPr>
        <w:t>EF and GLS according to TyG index.</w:t>
      </w:r>
      <w:r>
        <w:rPr>
          <w:b w:val="0"/>
          <w:bCs w:val="0"/>
          <w:sz w:val="22"/>
          <w:szCs w:val="22"/>
        </w:rPr>
        <w:t xml:space="preserve"> </w:t>
      </w:r>
    </w:p>
    <w:p w14:paraId="2FEC5833" w14:textId="77777777" w:rsidR="00915C99" w:rsidRDefault="00915C99" w:rsidP="00915C99">
      <w:pPr>
        <w:rPr>
          <w:lang w:bidi="ar-EG"/>
        </w:rPr>
      </w:pPr>
    </w:p>
    <w:p w14:paraId="3F0C6560" w14:textId="190137FB" w:rsidR="00915C99" w:rsidRPr="00915C99" w:rsidRDefault="00915C99" w:rsidP="00915C99">
      <w:pPr>
        <w:rPr>
          <w:rFonts w:asciiTheme="majorBidi" w:hAnsiTheme="majorBidi" w:cstheme="majorBidi"/>
          <w:sz w:val="24"/>
          <w:szCs w:val="24"/>
          <w:lang w:bidi="ar-EG"/>
        </w:rPr>
      </w:pPr>
      <w:r w:rsidRPr="00915C99">
        <w:rPr>
          <w:rFonts w:asciiTheme="majorBidi" w:hAnsiTheme="majorBidi" w:cstheme="majorBidi"/>
          <w:sz w:val="24"/>
          <w:szCs w:val="24"/>
          <w:lang w:bidi="ar-EG"/>
        </w:rPr>
        <w:lastRenderedPageBreak/>
        <w:t xml:space="preserve">List of Abbreviations </w:t>
      </w:r>
    </w:p>
    <w:tbl>
      <w:tblPr>
        <w:tblStyle w:val="af1"/>
        <w:bidiVisual/>
        <w:tblW w:w="0" w:type="auto"/>
        <w:tblLook w:val="04A0" w:firstRow="1" w:lastRow="0" w:firstColumn="1" w:lastColumn="0" w:noHBand="0" w:noVBand="1"/>
      </w:tblPr>
      <w:tblGrid>
        <w:gridCol w:w="6053"/>
        <w:gridCol w:w="2963"/>
      </w:tblGrid>
      <w:tr w:rsidR="00915C99" w14:paraId="730C4D2A" w14:textId="77777777" w:rsidTr="000954A5">
        <w:tc>
          <w:tcPr>
            <w:tcW w:w="6053" w:type="dxa"/>
          </w:tcPr>
          <w:p w14:paraId="204BBF52" w14:textId="77777777" w:rsidR="00915C99" w:rsidRDefault="00915C99" w:rsidP="007042E4">
            <w:pPr>
              <w:rPr>
                <w:rtl/>
                <w:lang w:bidi="ar-EG"/>
              </w:rPr>
            </w:pPr>
            <w:r w:rsidRPr="00C70B7C">
              <w:rPr>
                <w:rFonts w:asciiTheme="majorBidi" w:hAnsiTheme="majorBidi" w:cstheme="majorBidi"/>
                <w:sz w:val="24"/>
                <w:szCs w:val="24"/>
              </w:rPr>
              <w:t>Insulin resistance</w:t>
            </w:r>
          </w:p>
        </w:tc>
        <w:tc>
          <w:tcPr>
            <w:tcW w:w="2963" w:type="dxa"/>
          </w:tcPr>
          <w:p w14:paraId="14F76C8E" w14:textId="77777777" w:rsidR="00915C99" w:rsidRDefault="00915C99" w:rsidP="007042E4">
            <w:pPr>
              <w:rPr>
                <w:rtl/>
                <w:lang w:bidi="ar-EG"/>
              </w:rPr>
            </w:pPr>
            <w:r w:rsidRPr="00C70B7C">
              <w:rPr>
                <w:rFonts w:asciiTheme="majorBidi" w:hAnsiTheme="majorBidi" w:cstheme="majorBidi"/>
                <w:sz w:val="24"/>
                <w:szCs w:val="24"/>
              </w:rPr>
              <w:t>IR</w:t>
            </w:r>
          </w:p>
        </w:tc>
      </w:tr>
      <w:tr w:rsidR="00915C99" w14:paraId="0F921A9A" w14:textId="77777777" w:rsidTr="000954A5">
        <w:tc>
          <w:tcPr>
            <w:tcW w:w="6053" w:type="dxa"/>
          </w:tcPr>
          <w:p w14:paraId="39F92C55" w14:textId="77777777" w:rsidR="00915C99" w:rsidRDefault="00915C99" w:rsidP="007042E4">
            <w:pPr>
              <w:rPr>
                <w:rtl/>
                <w:lang w:bidi="ar-EG"/>
              </w:rPr>
            </w:pPr>
            <w:r w:rsidRPr="00C70B7C">
              <w:rPr>
                <w:rFonts w:asciiTheme="majorBidi" w:hAnsiTheme="majorBidi" w:cstheme="majorBidi"/>
                <w:sz w:val="24"/>
                <w:szCs w:val="24"/>
              </w:rPr>
              <w:t>Triglyceride-glucose</w:t>
            </w:r>
          </w:p>
        </w:tc>
        <w:tc>
          <w:tcPr>
            <w:tcW w:w="2963" w:type="dxa"/>
          </w:tcPr>
          <w:p w14:paraId="27269E42" w14:textId="77777777" w:rsidR="00915C99" w:rsidRDefault="00915C99" w:rsidP="007042E4">
            <w:pPr>
              <w:rPr>
                <w:rtl/>
                <w:lang w:bidi="ar-EG"/>
              </w:rPr>
            </w:pPr>
            <w:r w:rsidRPr="00C70B7C">
              <w:rPr>
                <w:rFonts w:asciiTheme="majorBidi" w:hAnsiTheme="majorBidi" w:cstheme="majorBidi"/>
                <w:sz w:val="24"/>
                <w:szCs w:val="24"/>
              </w:rPr>
              <w:t>TyG</w:t>
            </w:r>
          </w:p>
        </w:tc>
      </w:tr>
      <w:tr w:rsidR="00915C99" w14:paraId="0B9BADE5" w14:textId="77777777" w:rsidTr="000954A5">
        <w:tc>
          <w:tcPr>
            <w:tcW w:w="6053" w:type="dxa"/>
          </w:tcPr>
          <w:p w14:paraId="73134A80" w14:textId="77777777" w:rsidR="00915C99" w:rsidRDefault="00915C99" w:rsidP="007042E4">
            <w:pPr>
              <w:rPr>
                <w:rtl/>
                <w:lang w:bidi="ar-EG"/>
              </w:rPr>
            </w:pPr>
            <w:r w:rsidRPr="00C70B7C">
              <w:rPr>
                <w:rFonts w:asciiTheme="majorBidi" w:hAnsiTheme="majorBidi" w:cstheme="majorBidi"/>
              </w:rPr>
              <w:t>L</w:t>
            </w:r>
            <w:r w:rsidRPr="00C70B7C">
              <w:rPr>
                <w:rFonts w:asciiTheme="majorBidi" w:hAnsiTheme="majorBidi" w:cstheme="majorBidi"/>
                <w:sz w:val="24"/>
                <w:szCs w:val="24"/>
              </w:rPr>
              <w:t>eft ventricular</w:t>
            </w:r>
          </w:p>
        </w:tc>
        <w:tc>
          <w:tcPr>
            <w:tcW w:w="2963" w:type="dxa"/>
          </w:tcPr>
          <w:p w14:paraId="461E186B" w14:textId="77777777" w:rsidR="00915C99" w:rsidRDefault="00915C99" w:rsidP="007042E4">
            <w:pPr>
              <w:rPr>
                <w:rtl/>
                <w:lang w:bidi="ar-EG"/>
              </w:rPr>
            </w:pPr>
            <w:r w:rsidRPr="00C70B7C">
              <w:rPr>
                <w:rFonts w:asciiTheme="majorBidi" w:hAnsiTheme="majorBidi" w:cstheme="majorBidi"/>
                <w:sz w:val="24"/>
                <w:szCs w:val="24"/>
              </w:rPr>
              <w:t>LV</w:t>
            </w:r>
          </w:p>
        </w:tc>
      </w:tr>
      <w:tr w:rsidR="00915C99" w14:paraId="7967A523" w14:textId="77777777" w:rsidTr="000954A5">
        <w:tc>
          <w:tcPr>
            <w:tcW w:w="6053" w:type="dxa"/>
          </w:tcPr>
          <w:p w14:paraId="6E6AE8AE" w14:textId="77777777" w:rsidR="00915C99" w:rsidRDefault="00915C99" w:rsidP="007042E4">
            <w:pPr>
              <w:rPr>
                <w:rtl/>
                <w:lang w:bidi="ar-EG"/>
              </w:rPr>
            </w:pPr>
            <w:r w:rsidRPr="00C70B7C">
              <w:rPr>
                <w:rFonts w:asciiTheme="majorBidi" w:hAnsiTheme="majorBidi" w:cstheme="majorBidi"/>
              </w:rPr>
              <w:t>G</w:t>
            </w:r>
            <w:r w:rsidRPr="00C70B7C">
              <w:rPr>
                <w:rFonts w:asciiTheme="majorBidi" w:hAnsiTheme="majorBidi" w:cstheme="majorBidi"/>
                <w:sz w:val="24"/>
                <w:szCs w:val="24"/>
              </w:rPr>
              <w:t>lobal longitudinal strain</w:t>
            </w:r>
          </w:p>
        </w:tc>
        <w:tc>
          <w:tcPr>
            <w:tcW w:w="2963" w:type="dxa"/>
          </w:tcPr>
          <w:p w14:paraId="166D47C9" w14:textId="77777777" w:rsidR="00915C99" w:rsidRDefault="00915C99" w:rsidP="007042E4">
            <w:pPr>
              <w:rPr>
                <w:rtl/>
                <w:lang w:bidi="ar-EG"/>
              </w:rPr>
            </w:pPr>
            <w:r w:rsidRPr="00C70B7C">
              <w:rPr>
                <w:rFonts w:asciiTheme="majorBidi" w:hAnsiTheme="majorBidi" w:cstheme="majorBidi"/>
                <w:sz w:val="24"/>
                <w:szCs w:val="24"/>
              </w:rPr>
              <w:t>GLS</w:t>
            </w:r>
          </w:p>
        </w:tc>
      </w:tr>
      <w:tr w:rsidR="00915C99" w14:paraId="3C537BC3" w14:textId="77777777" w:rsidTr="000954A5">
        <w:tc>
          <w:tcPr>
            <w:tcW w:w="6053" w:type="dxa"/>
          </w:tcPr>
          <w:p w14:paraId="1837159F" w14:textId="77777777" w:rsidR="00915C99" w:rsidRPr="00A06FA1" w:rsidRDefault="00915C99" w:rsidP="007042E4">
            <w:pPr>
              <w:rPr>
                <w:rtl/>
                <w:lang w:bidi="ar-EG"/>
              </w:rPr>
            </w:pPr>
            <w:r w:rsidRPr="00C70B7C">
              <w:rPr>
                <w:rFonts w:asciiTheme="majorBidi" w:hAnsiTheme="majorBidi" w:cstheme="majorBidi"/>
                <w:sz w:val="24"/>
                <w:szCs w:val="24"/>
              </w:rPr>
              <w:t>non-ST elevation acute coronary syndrome</w:t>
            </w:r>
          </w:p>
        </w:tc>
        <w:tc>
          <w:tcPr>
            <w:tcW w:w="2963" w:type="dxa"/>
          </w:tcPr>
          <w:p w14:paraId="14452970" w14:textId="77777777" w:rsidR="00915C99" w:rsidRDefault="00915C99" w:rsidP="007042E4">
            <w:pPr>
              <w:rPr>
                <w:rtl/>
                <w:lang w:bidi="ar-EG"/>
              </w:rPr>
            </w:pPr>
            <w:r w:rsidRPr="00C70B7C">
              <w:rPr>
                <w:rFonts w:asciiTheme="majorBidi" w:hAnsiTheme="majorBidi" w:cstheme="majorBidi"/>
                <w:sz w:val="24"/>
                <w:szCs w:val="24"/>
              </w:rPr>
              <w:t>NSTE-ACS</w:t>
            </w:r>
          </w:p>
        </w:tc>
      </w:tr>
      <w:tr w:rsidR="00915C99" w14:paraId="48282967" w14:textId="77777777" w:rsidTr="000954A5">
        <w:tc>
          <w:tcPr>
            <w:tcW w:w="6053" w:type="dxa"/>
          </w:tcPr>
          <w:p w14:paraId="69BFCC04" w14:textId="77777777" w:rsidR="00915C99" w:rsidRDefault="00915C99" w:rsidP="007042E4">
            <w:pPr>
              <w:rPr>
                <w:rtl/>
                <w:lang w:bidi="ar-EG"/>
              </w:rPr>
            </w:pPr>
            <w:r w:rsidRPr="00C70B7C">
              <w:rPr>
                <w:rFonts w:asciiTheme="majorBidi" w:hAnsiTheme="majorBidi" w:cstheme="majorBidi"/>
              </w:rPr>
              <w:t>H</w:t>
            </w:r>
            <w:r w:rsidRPr="00C70B7C">
              <w:rPr>
                <w:rFonts w:asciiTheme="majorBidi" w:hAnsiTheme="majorBidi" w:cstheme="majorBidi"/>
                <w:sz w:val="24"/>
                <w:szCs w:val="24"/>
              </w:rPr>
              <w:t>eart failure</w:t>
            </w:r>
          </w:p>
        </w:tc>
        <w:tc>
          <w:tcPr>
            <w:tcW w:w="2963" w:type="dxa"/>
          </w:tcPr>
          <w:p w14:paraId="7E02B008" w14:textId="77777777" w:rsidR="00915C99" w:rsidRDefault="00915C99" w:rsidP="007042E4">
            <w:pPr>
              <w:rPr>
                <w:rtl/>
                <w:lang w:bidi="ar-EG"/>
              </w:rPr>
            </w:pPr>
            <w:r w:rsidRPr="00C70B7C">
              <w:rPr>
                <w:rFonts w:asciiTheme="majorBidi" w:hAnsiTheme="majorBidi" w:cstheme="majorBidi"/>
                <w:sz w:val="24"/>
                <w:szCs w:val="24"/>
              </w:rPr>
              <w:t>HF</w:t>
            </w:r>
          </w:p>
        </w:tc>
      </w:tr>
      <w:tr w:rsidR="00915C99" w14:paraId="5DC88612" w14:textId="77777777" w:rsidTr="000954A5">
        <w:tc>
          <w:tcPr>
            <w:tcW w:w="6053" w:type="dxa"/>
          </w:tcPr>
          <w:p w14:paraId="47C9300E"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coronary heart disease</w:t>
            </w:r>
          </w:p>
        </w:tc>
        <w:tc>
          <w:tcPr>
            <w:tcW w:w="2963" w:type="dxa"/>
          </w:tcPr>
          <w:p w14:paraId="0C45688C"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CHD</w:t>
            </w:r>
          </w:p>
        </w:tc>
      </w:tr>
      <w:tr w:rsidR="00915C99" w14:paraId="0D0685F0" w14:textId="77777777" w:rsidTr="000954A5">
        <w:tc>
          <w:tcPr>
            <w:tcW w:w="6053" w:type="dxa"/>
          </w:tcPr>
          <w:p w14:paraId="70CC37C1"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diabetes mellitus</w:t>
            </w:r>
          </w:p>
        </w:tc>
        <w:tc>
          <w:tcPr>
            <w:tcW w:w="2963" w:type="dxa"/>
          </w:tcPr>
          <w:p w14:paraId="6583D16F"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DM</w:t>
            </w:r>
          </w:p>
        </w:tc>
      </w:tr>
      <w:tr w:rsidR="00915C99" w14:paraId="318C6749" w14:textId="77777777" w:rsidTr="000954A5">
        <w:tc>
          <w:tcPr>
            <w:tcW w:w="6053" w:type="dxa"/>
          </w:tcPr>
          <w:p w14:paraId="4E4D1045"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coronary artery disease</w:t>
            </w:r>
          </w:p>
        </w:tc>
        <w:tc>
          <w:tcPr>
            <w:tcW w:w="2963" w:type="dxa"/>
          </w:tcPr>
          <w:p w14:paraId="7D75F6DD"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CAD</w:t>
            </w:r>
          </w:p>
        </w:tc>
      </w:tr>
      <w:tr w:rsidR="00915C99" w14:paraId="60D7A8CF" w14:textId="77777777" w:rsidTr="000954A5">
        <w:tc>
          <w:tcPr>
            <w:tcW w:w="6053" w:type="dxa"/>
          </w:tcPr>
          <w:p w14:paraId="72631DAE"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cardiovascular events</w:t>
            </w:r>
          </w:p>
        </w:tc>
        <w:tc>
          <w:tcPr>
            <w:tcW w:w="2963" w:type="dxa"/>
          </w:tcPr>
          <w:p w14:paraId="5F7684F6"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CVEs</w:t>
            </w:r>
          </w:p>
        </w:tc>
      </w:tr>
      <w:tr w:rsidR="00915C99" w14:paraId="6749F525" w14:textId="77777777" w:rsidTr="000954A5">
        <w:tc>
          <w:tcPr>
            <w:tcW w:w="6053" w:type="dxa"/>
          </w:tcPr>
          <w:p w14:paraId="4C73E610"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cardiovascular disease</w:t>
            </w:r>
          </w:p>
        </w:tc>
        <w:tc>
          <w:tcPr>
            <w:tcW w:w="2963" w:type="dxa"/>
          </w:tcPr>
          <w:p w14:paraId="154DDDFD"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CVD</w:t>
            </w:r>
          </w:p>
        </w:tc>
      </w:tr>
      <w:tr w:rsidR="00915C99" w14:paraId="27EECB7B" w14:textId="77777777" w:rsidTr="000954A5">
        <w:tc>
          <w:tcPr>
            <w:tcW w:w="6053" w:type="dxa"/>
          </w:tcPr>
          <w:p w14:paraId="1B4E7C29"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chronic kidney disease</w:t>
            </w:r>
          </w:p>
        </w:tc>
        <w:tc>
          <w:tcPr>
            <w:tcW w:w="2963" w:type="dxa"/>
          </w:tcPr>
          <w:p w14:paraId="2CFE0411"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CKD</w:t>
            </w:r>
          </w:p>
        </w:tc>
      </w:tr>
      <w:tr w:rsidR="00915C99" w14:paraId="19A1D658" w14:textId="77777777" w:rsidTr="000954A5">
        <w:tc>
          <w:tcPr>
            <w:tcW w:w="6053" w:type="dxa"/>
          </w:tcPr>
          <w:p w14:paraId="0F00F638"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transthoracic echocardiography</w:t>
            </w:r>
          </w:p>
        </w:tc>
        <w:tc>
          <w:tcPr>
            <w:tcW w:w="2963" w:type="dxa"/>
          </w:tcPr>
          <w:p w14:paraId="32F26F3A"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TTE</w:t>
            </w:r>
          </w:p>
        </w:tc>
      </w:tr>
      <w:tr w:rsidR="00915C99" w14:paraId="51A3F4AC" w14:textId="77777777" w:rsidTr="000954A5">
        <w:tc>
          <w:tcPr>
            <w:tcW w:w="6053" w:type="dxa"/>
          </w:tcPr>
          <w:p w14:paraId="70A8B260"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Two-dimensional speckle-tracking echocardiography</w:t>
            </w:r>
          </w:p>
        </w:tc>
        <w:tc>
          <w:tcPr>
            <w:tcW w:w="2963" w:type="dxa"/>
          </w:tcPr>
          <w:p w14:paraId="12D006DD"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2D-STE</w:t>
            </w:r>
          </w:p>
        </w:tc>
      </w:tr>
      <w:tr w:rsidR="00915C99" w14:paraId="17CC3467" w14:textId="77777777" w:rsidTr="000954A5">
        <w:tc>
          <w:tcPr>
            <w:tcW w:w="6053" w:type="dxa"/>
          </w:tcPr>
          <w:p w14:paraId="19EE40A8"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magnetic resonance imaging</w:t>
            </w:r>
          </w:p>
        </w:tc>
        <w:tc>
          <w:tcPr>
            <w:tcW w:w="2963" w:type="dxa"/>
          </w:tcPr>
          <w:p w14:paraId="64331C29" w14:textId="77777777" w:rsidR="00915C99" w:rsidRPr="00C70B7C" w:rsidRDefault="00915C99" w:rsidP="007042E4">
            <w:pPr>
              <w:rPr>
                <w:rFonts w:asciiTheme="majorBidi" w:hAnsiTheme="majorBidi" w:cstheme="majorBidi"/>
              </w:rPr>
            </w:pPr>
            <w:r w:rsidRPr="00C70B7C">
              <w:rPr>
                <w:rFonts w:asciiTheme="majorBidi" w:hAnsiTheme="majorBidi" w:cstheme="majorBidi"/>
                <w:sz w:val="24"/>
                <w:szCs w:val="24"/>
              </w:rPr>
              <w:t>MRI</w:t>
            </w:r>
          </w:p>
        </w:tc>
      </w:tr>
      <w:tr w:rsidR="00915C99" w14:paraId="00F55B6F" w14:textId="77777777" w:rsidTr="000954A5">
        <w:tc>
          <w:tcPr>
            <w:tcW w:w="6053" w:type="dxa"/>
          </w:tcPr>
          <w:p w14:paraId="10030F4A" w14:textId="77777777" w:rsidR="00915C99" w:rsidRPr="00C70B7C" w:rsidRDefault="00915C99" w:rsidP="007042E4">
            <w:pPr>
              <w:rPr>
                <w:rFonts w:asciiTheme="majorBidi" w:hAnsiTheme="majorBidi" w:cstheme="majorBidi"/>
              </w:rPr>
            </w:pPr>
            <w:r w:rsidRPr="00C70B7C">
              <w:rPr>
                <w:rFonts w:asciiTheme="majorBidi" w:hAnsiTheme="majorBidi" w:cstheme="majorBidi"/>
                <w:bCs/>
              </w:rPr>
              <w:t>American Society of Echocardiography</w:t>
            </w:r>
          </w:p>
        </w:tc>
        <w:tc>
          <w:tcPr>
            <w:tcW w:w="2963" w:type="dxa"/>
          </w:tcPr>
          <w:p w14:paraId="606E4261" w14:textId="77777777" w:rsidR="00915C99" w:rsidRPr="00C70B7C" w:rsidRDefault="00915C99" w:rsidP="007042E4">
            <w:pPr>
              <w:rPr>
                <w:rFonts w:asciiTheme="majorBidi" w:hAnsiTheme="majorBidi" w:cstheme="majorBidi"/>
              </w:rPr>
            </w:pPr>
            <w:r w:rsidRPr="00C70B7C">
              <w:rPr>
                <w:rFonts w:asciiTheme="majorBidi" w:hAnsiTheme="majorBidi" w:cstheme="majorBidi"/>
                <w:bCs/>
              </w:rPr>
              <w:t>ASE</w:t>
            </w:r>
          </w:p>
        </w:tc>
      </w:tr>
      <w:tr w:rsidR="00915C99" w14:paraId="6A9CD3FE" w14:textId="77777777" w:rsidTr="000954A5">
        <w:tc>
          <w:tcPr>
            <w:tcW w:w="6053" w:type="dxa"/>
          </w:tcPr>
          <w:p w14:paraId="5FC15CC8" w14:textId="77777777" w:rsidR="00915C99" w:rsidRPr="00C70B7C" w:rsidRDefault="00915C99" w:rsidP="007042E4">
            <w:pPr>
              <w:rPr>
                <w:rFonts w:asciiTheme="majorBidi" w:hAnsiTheme="majorBidi" w:cstheme="majorBidi"/>
              </w:rPr>
            </w:pPr>
            <w:r w:rsidRPr="00C70B7C">
              <w:rPr>
                <w:rFonts w:asciiTheme="majorBidi" w:hAnsiTheme="majorBidi" w:cstheme="majorBidi"/>
                <w:bCs/>
              </w:rPr>
              <w:t>Heart rate</w:t>
            </w:r>
          </w:p>
        </w:tc>
        <w:tc>
          <w:tcPr>
            <w:tcW w:w="2963" w:type="dxa"/>
          </w:tcPr>
          <w:p w14:paraId="18114BFC" w14:textId="77777777" w:rsidR="00915C99" w:rsidRPr="00C70B7C" w:rsidRDefault="00915C99" w:rsidP="007042E4">
            <w:pPr>
              <w:rPr>
                <w:rFonts w:asciiTheme="majorBidi" w:hAnsiTheme="majorBidi" w:cstheme="majorBidi"/>
              </w:rPr>
            </w:pPr>
            <w:r w:rsidRPr="00C70B7C">
              <w:rPr>
                <w:rFonts w:asciiTheme="majorBidi" w:hAnsiTheme="majorBidi" w:cstheme="majorBidi"/>
                <w:bCs/>
              </w:rPr>
              <w:t>HR</w:t>
            </w:r>
          </w:p>
        </w:tc>
      </w:tr>
      <w:tr w:rsidR="00915C99" w14:paraId="4FA0CAD3" w14:textId="77777777" w:rsidTr="000954A5">
        <w:tc>
          <w:tcPr>
            <w:tcW w:w="6053" w:type="dxa"/>
          </w:tcPr>
          <w:p w14:paraId="1D7DA220" w14:textId="77777777" w:rsidR="00915C99" w:rsidRPr="00C70B7C" w:rsidRDefault="00915C99" w:rsidP="007042E4">
            <w:pPr>
              <w:rPr>
                <w:rFonts w:asciiTheme="majorBidi" w:hAnsiTheme="majorBidi" w:cstheme="majorBidi"/>
              </w:rPr>
            </w:pPr>
            <w:r w:rsidRPr="00C70B7C">
              <w:rPr>
                <w:rFonts w:asciiTheme="majorBidi" w:hAnsiTheme="majorBidi" w:cstheme="majorBidi"/>
                <w:bCs/>
              </w:rPr>
              <w:t>diastolic blood pressures</w:t>
            </w:r>
          </w:p>
        </w:tc>
        <w:tc>
          <w:tcPr>
            <w:tcW w:w="2963" w:type="dxa"/>
          </w:tcPr>
          <w:p w14:paraId="77C159D9" w14:textId="77777777" w:rsidR="00915C99" w:rsidRPr="00C70B7C" w:rsidRDefault="00915C99" w:rsidP="007042E4">
            <w:pPr>
              <w:rPr>
                <w:rFonts w:asciiTheme="majorBidi" w:hAnsiTheme="majorBidi" w:cstheme="majorBidi"/>
              </w:rPr>
            </w:pPr>
            <w:r w:rsidRPr="00C70B7C">
              <w:rPr>
                <w:rFonts w:asciiTheme="majorBidi" w:hAnsiTheme="majorBidi" w:cstheme="majorBidi"/>
                <w:bCs/>
              </w:rPr>
              <w:t>DBP</w:t>
            </w:r>
          </w:p>
        </w:tc>
      </w:tr>
      <w:tr w:rsidR="00915C99" w14:paraId="128FEC9E" w14:textId="77777777" w:rsidTr="000954A5">
        <w:tc>
          <w:tcPr>
            <w:tcW w:w="6053" w:type="dxa"/>
          </w:tcPr>
          <w:p w14:paraId="6691D731" w14:textId="77777777" w:rsidR="00915C99" w:rsidRPr="00C70B7C" w:rsidRDefault="00915C99" w:rsidP="007042E4">
            <w:pPr>
              <w:rPr>
                <w:rFonts w:asciiTheme="majorBidi" w:hAnsiTheme="majorBidi" w:cstheme="majorBidi"/>
              </w:rPr>
            </w:pPr>
            <w:r w:rsidRPr="00C70B7C">
              <w:rPr>
                <w:rFonts w:asciiTheme="majorBidi" w:hAnsiTheme="majorBidi" w:cstheme="majorBidi"/>
                <w:bCs/>
              </w:rPr>
              <w:t>systolic blood pressures</w:t>
            </w:r>
          </w:p>
        </w:tc>
        <w:tc>
          <w:tcPr>
            <w:tcW w:w="2963" w:type="dxa"/>
          </w:tcPr>
          <w:p w14:paraId="03F96B24" w14:textId="77777777" w:rsidR="00915C99" w:rsidRPr="00C70B7C" w:rsidRDefault="00915C99" w:rsidP="007042E4">
            <w:pPr>
              <w:rPr>
                <w:rFonts w:asciiTheme="majorBidi" w:hAnsiTheme="majorBidi" w:cstheme="majorBidi"/>
              </w:rPr>
            </w:pPr>
            <w:r w:rsidRPr="00C70B7C">
              <w:rPr>
                <w:rFonts w:asciiTheme="majorBidi" w:hAnsiTheme="majorBidi" w:cstheme="majorBidi"/>
                <w:bCs/>
              </w:rPr>
              <w:t>SBP</w:t>
            </w:r>
          </w:p>
        </w:tc>
      </w:tr>
    </w:tbl>
    <w:p w14:paraId="6C15EDAC" w14:textId="77777777" w:rsidR="00915C99" w:rsidRDefault="00915C99" w:rsidP="00915C99">
      <w:pPr>
        <w:rPr>
          <w:lang w:bidi="ar-EG"/>
        </w:rPr>
      </w:pPr>
    </w:p>
    <w:p w14:paraId="27C2760C" w14:textId="77777777" w:rsidR="005D54CE" w:rsidRDefault="005D54CE" w:rsidP="00915C99">
      <w:pPr>
        <w:rPr>
          <w:lang w:bidi="ar-EG"/>
        </w:rPr>
      </w:pPr>
    </w:p>
    <w:p w14:paraId="6A378505" w14:textId="56F78F4D" w:rsidR="005D54CE" w:rsidRDefault="005D54CE" w:rsidP="005D54CE">
      <w:pPr>
        <w:rPr>
          <w:rFonts w:asciiTheme="majorBidi" w:hAnsiTheme="majorBidi" w:cstheme="majorBidi"/>
          <w:b/>
          <w:bCs/>
          <w:lang w:bidi="ar-EG"/>
        </w:rPr>
      </w:pPr>
      <w:r w:rsidRPr="005D54CE">
        <w:rPr>
          <w:rFonts w:asciiTheme="majorBidi" w:hAnsiTheme="majorBidi" w:cstheme="majorBidi"/>
          <w:b/>
          <w:bCs/>
          <w:lang w:bidi="ar-EG"/>
        </w:rPr>
        <w:t>Case 1:</w:t>
      </w:r>
      <w:r w:rsidRPr="005D54CE">
        <w:rPr>
          <w:rFonts w:asciiTheme="majorBidi" w:eastAsia="Aptos" w:hAnsiTheme="majorBidi" w:cstheme="majorBidi"/>
          <w:b/>
          <w:bCs/>
          <w:sz w:val="28"/>
          <w:szCs w:val="28"/>
          <w:lang w:eastAsia="zh-CN"/>
        </w:rPr>
        <w:t xml:space="preserve"> </w:t>
      </w:r>
      <w:r w:rsidRPr="005D54CE">
        <w:rPr>
          <w:rFonts w:asciiTheme="majorBidi" w:hAnsiTheme="majorBidi" w:cstheme="majorBidi"/>
          <w:b/>
          <w:bCs/>
          <w:lang w:bidi="ar-EG"/>
        </w:rPr>
        <w:t>There was significant reduction in GLS in this patient who had high TyG index.</w:t>
      </w:r>
      <w:r w:rsidR="00421F49">
        <w:rPr>
          <w:rFonts w:asciiTheme="majorBidi" w:hAnsiTheme="majorBidi" w:cstheme="majorBidi"/>
          <w:b/>
          <w:bCs/>
          <w:lang w:bidi="ar-EG"/>
        </w:rPr>
        <w:t xml:space="preserve"> (echo )</w:t>
      </w:r>
      <w:bookmarkStart w:id="2" w:name="_GoBack"/>
      <w:bookmarkEnd w:id="2"/>
    </w:p>
    <w:tbl>
      <w:tblPr>
        <w:tblStyle w:val="af1"/>
        <w:tblW w:w="0" w:type="auto"/>
        <w:tblLook w:val="04A0" w:firstRow="1" w:lastRow="0" w:firstColumn="1" w:lastColumn="0" w:noHBand="0" w:noVBand="1"/>
      </w:tblPr>
      <w:tblGrid>
        <w:gridCol w:w="8496"/>
      </w:tblGrid>
      <w:tr w:rsidR="005D54CE" w14:paraId="3DA281D3" w14:textId="77777777" w:rsidTr="005D54CE">
        <w:tc>
          <w:tcPr>
            <w:tcW w:w="8496" w:type="dxa"/>
          </w:tcPr>
          <w:p w14:paraId="766FE49E" w14:textId="47339B26" w:rsidR="005D54CE" w:rsidRDefault="005D54CE" w:rsidP="005D54CE">
            <w:pPr>
              <w:rPr>
                <w:rFonts w:asciiTheme="majorBidi" w:hAnsiTheme="majorBidi" w:cstheme="majorBidi"/>
                <w:b/>
                <w:bCs/>
                <w:lang w:bidi="ar-EG"/>
              </w:rPr>
            </w:pPr>
            <w:r>
              <w:rPr>
                <w:noProof/>
                <w:sz w:val="28"/>
                <w:szCs w:val="28"/>
              </w:rPr>
              <w:drawing>
                <wp:inline distT="0" distB="0" distL="0" distR="0" wp14:anchorId="21D3DD6B" wp14:editId="35789B8E">
                  <wp:extent cx="5257800" cy="1554480"/>
                  <wp:effectExtent l="0" t="0" r="0" b="7620"/>
                  <wp:docPr id="1026" name="Picture 4" descr="Screenshot_2025-06-04-00-31-24-91_99c04817c0de5652397fc8b56c3b3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srcRect/>
                          <a:stretch/>
                        </pic:blipFill>
                        <pic:spPr>
                          <a:xfrm>
                            <a:off x="0" y="0"/>
                            <a:ext cx="5257800" cy="1554480"/>
                          </a:xfrm>
                          <a:prstGeom prst="rect">
                            <a:avLst/>
                          </a:prstGeom>
                        </pic:spPr>
                      </pic:pic>
                    </a:graphicData>
                  </a:graphic>
                </wp:inline>
              </w:drawing>
            </w:r>
          </w:p>
        </w:tc>
      </w:tr>
      <w:tr w:rsidR="005D54CE" w14:paraId="32D43E76" w14:textId="77777777" w:rsidTr="005D54CE">
        <w:tc>
          <w:tcPr>
            <w:tcW w:w="8496" w:type="dxa"/>
          </w:tcPr>
          <w:p w14:paraId="1E5B623B" w14:textId="78E23812" w:rsidR="005D54CE" w:rsidRDefault="005D54CE" w:rsidP="005D54CE">
            <w:pPr>
              <w:rPr>
                <w:rFonts w:asciiTheme="majorBidi" w:hAnsiTheme="majorBidi" w:cstheme="majorBidi"/>
                <w:b/>
                <w:bCs/>
                <w:lang w:bidi="ar-EG"/>
              </w:rPr>
            </w:pPr>
            <w:r>
              <w:rPr>
                <w:rFonts w:cs="Times New Roman"/>
                <w:noProof/>
                <w:color w:val="000000"/>
                <w:sz w:val="28"/>
                <w:szCs w:val="28"/>
              </w:rPr>
              <w:drawing>
                <wp:inline distT="0" distB="0" distL="0" distR="0" wp14:anchorId="198E0619" wp14:editId="373B2CE0">
                  <wp:extent cx="5246914" cy="1709057"/>
                  <wp:effectExtent l="0" t="0" r="0" b="5715"/>
                  <wp:docPr id="1027" name="Picture 5" descr="Screenshot_2025-06-04-00-29-01-19_4aed3257f278fcf7bfa3abd644e23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2" cstate="print"/>
                          <a:srcRect/>
                          <a:stretch/>
                        </pic:blipFill>
                        <pic:spPr>
                          <a:xfrm>
                            <a:off x="0" y="0"/>
                            <a:ext cx="5257800" cy="1712603"/>
                          </a:xfrm>
                          <a:prstGeom prst="rect">
                            <a:avLst/>
                          </a:prstGeom>
                        </pic:spPr>
                      </pic:pic>
                    </a:graphicData>
                  </a:graphic>
                </wp:inline>
              </w:drawing>
            </w:r>
          </w:p>
        </w:tc>
      </w:tr>
      <w:tr w:rsidR="005D54CE" w14:paraId="58479988" w14:textId="77777777" w:rsidTr="005D54CE">
        <w:tc>
          <w:tcPr>
            <w:tcW w:w="8496" w:type="dxa"/>
          </w:tcPr>
          <w:p w14:paraId="136D0438" w14:textId="09822E22" w:rsidR="005D54CE" w:rsidRDefault="005D54CE" w:rsidP="005D54CE">
            <w:pPr>
              <w:rPr>
                <w:rFonts w:asciiTheme="majorBidi" w:hAnsiTheme="majorBidi" w:cstheme="majorBidi"/>
                <w:b/>
                <w:bCs/>
                <w:lang w:bidi="ar-EG"/>
              </w:rPr>
            </w:pPr>
            <w:r>
              <w:rPr>
                <w:rFonts w:cs="Times New Roman"/>
                <w:noProof/>
                <w:color w:val="000000"/>
                <w:sz w:val="28"/>
                <w:szCs w:val="28"/>
              </w:rPr>
              <w:lastRenderedPageBreak/>
              <w:drawing>
                <wp:inline distT="0" distB="0" distL="0" distR="0" wp14:anchorId="62308FE9" wp14:editId="04E12D7D">
                  <wp:extent cx="5249333" cy="1774371"/>
                  <wp:effectExtent l="0" t="0" r="8890" b="0"/>
                  <wp:docPr id="1028" name="Picture 6" descr="Screenshot_2025-06-04-00-27-44-03_4aed3257f278fcf7bfa3abd644e23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13" cstate="print"/>
                          <a:srcRect/>
                          <a:stretch/>
                        </pic:blipFill>
                        <pic:spPr>
                          <a:xfrm>
                            <a:off x="0" y="0"/>
                            <a:ext cx="5257800" cy="1777233"/>
                          </a:xfrm>
                          <a:prstGeom prst="rect">
                            <a:avLst/>
                          </a:prstGeom>
                        </pic:spPr>
                      </pic:pic>
                    </a:graphicData>
                  </a:graphic>
                </wp:inline>
              </w:drawing>
            </w:r>
          </w:p>
        </w:tc>
      </w:tr>
      <w:tr w:rsidR="005D54CE" w14:paraId="383F10C0" w14:textId="77777777" w:rsidTr="005D54CE">
        <w:tc>
          <w:tcPr>
            <w:tcW w:w="8496" w:type="dxa"/>
          </w:tcPr>
          <w:p w14:paraId="4DD9D14B" w14:textId="75B96330" w:rsidR="005D54CE" w:rsidRDefault="005D54CE" w:rsidP="005D54CE">
            <w:pPr>
              <w:rPr>
                <w:rFonts w:asciiTheme="majorBidi" w:hAnsiTheme="majorBidi" w:cstheme="majorBidi"/>
                <w:b/>
                <w:bCs/>
                <w:lang w:bidi="ar-EG"/>
              </w:rPr>
            </w:pPr>
            <w:r>
              <w:rPr>
                <w:rFonts w:cs="Times New Roman"/>
                <w:noProof/>
                <w:color w:val="000000"/>
                <w:sz w:val="28"/>
                <w:szCs w:val="28"/>
              </w:rPr>
              <w:drawing>
                <wp:inline distT="0" distB="0" distL="0" distR="0" wp14:anchorId="641F14B5" wp14:editId="4344200C">
                  <wp:extent cx="5249333" cy="1741714"/>
                  <wp:effectExtent l="0" t="0" r="0" b="0"/>
                  <wp:docPr id="1029" name="Picture 7" descr="Screenshot_2025-06-04-00-31-39-21_99c04817c0de5652397fc8b56c3b3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14" cstate="print"/>
                          <a:srcRect/>
                          <a:stretch/>
                        </pic:blipFill>
                        <pic:spPr>
                          <a:xfrm>
                            <a:off x="0" y="0"/>
                            <a:ext cx="5257800" cy="1744523"/>
                          </a:xfrm>
                          <a:prstGeom prst="rect">
                            <a:avLst/>
                          </a:prstGeom>
                        </pic:spPr>
                      </pic:pic>
                    </a:graphicData>
                  </a:graphic>
                </wp:inline>
              </w:drawing>
            </w:r>
          </w:p>
        </w:tc>
      </w:tr>
      <w:tr w:rsidR="005D54CE" w14:paraId="4C38E7AB" w14:textId="77777777" w:rsidTr="005D54CE">
        <w:tc>
          <w:tcPr>
            <w:tcW w:w="8496" w:type="dxa"/>
          </w:tcPr>
          <w:p w14:paraId="66725BCE" w14:textId="75EDDA14" w:rsidR="005D54CE" w:rsidRDefault="005D54CE" w:rsidP="005D54CE">
            <w:pPr>
              <w:rPr>
                <w:rFonts w:asciiTheme="majorBidi" w:hAnsiTheme="majorBidi" w:cstheme="majorBidi"/>
                <w:b/>
                <w:bCs/>
                <w:lang w:bidi="ar-EG"/>
              </w:rPr>
            </w:pPr>
            <w:r>
              <w:rPr>
                <w:rFonts w:cs="Times New Roman"/>
                <w:noProof/>
                <w:color w:val="000000"/>
                <w:sz w:val="28"/>
                <w:szCs w:val="28"/>
              </w:rPr>
              <w:drawing>
                <wp:inline distT="0" distB="0" distL="0" distR="0" wp14:anchorId="40D43178" wp14:editId="47D4C2D5">
                  <wp:extent cx="5257800" cy="1817914"/>
                  <wp:effectExtent l="0" t="0" r="0" b="0"/>
                  <wp:docPr id="1030" name="Picture 8" descr="Screenshot_2025-06-04-00-31-56-25_99c04817c0de5652397fc8b56c3b3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5" cstate="print"/>
                          <a:srcRect/>
                          <a:stretch/>
                        </pic:blipFill>
                        <pic:spPr>
                          <a:xfrm>
                            <a:off x="0" y="0"/>
                            <a:ext cx="5257800" cy="1817914"/>
                          </a:xfrm>
                          <a:prstGeom prst="rect">
                            <a:avLst/>
                          </a:prstGeom>
                        </pic:spPr>
                      </pic:pic>
                    </a:graphicData>
                  </a:graphic>
                </wp:inline>
              </w:drawing>
            </w:r>
          </w:p>
        </w:tc>
      </w:tr>
      <w:tr w:rsidR="005D54CE" w14:paraId="6459AC04" w14:textId="77777777" w:rsidTr="005D54CE">
        <w:tc>
          <w:tcPr>
            <w:tcW w:w="8496" w:type="dxa"/>
          </w:tcPr>
          <w:p w14:paraId="3E1C724C" w14:textId="047B9FE0" w:rsidR="005D54CE" w:rsidRDefault="005D54CE" w:rsidP="005D54CE">
            <w:pPr>
              <w:rPr>
                <w:rFonts w:asciiTheme="majorBidi" w:hAnsiTheme="majorBidi" w:cstheme="majorBidi"/>
                <w:b/>
                <w:bCs/>
                <w:lang w:bidi="ar-EG"/>
              </w:rPr>
            </w:pPr>
            <w:r>
              <w:rPr>
                <w:rFonts w:cs="Times New Roman"/>
                <w:noProof/>
                <w:color w:val="000000"/>
                <w:sz w:val="28"/>
                <w:szCs w:val="28"/>
              </w:rPr>
              <w:drawing>
                <wp:inline distT="0" distB="0" distL="0" distR="0" wp14:anchorId="15B10468" wp14:editId="342F2F68">
                  <wp:extent cx="5257800" cy="1959429"/>
                  <wp:effectExtent l="0" t="0" r="0" b="3175"/>
                  <wp:docPr id="1031" name="Picture 9" descr="Screenshot_2025-06-04-00-32-08-56_99c04817c0de5652397fc8b56c3b3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14" cstate="print"/>
                          <a:srcRect/>
                          <a:stretch/>
                        </pic:blipFill>
                        <pic:spPr>
                          <a:xfrm>
                            <a:off x="0" y="0"/>
                            <a:ext cx="5257800" cy="1959429"/>
                          </a:xfrm>
                          <a:prstGeom prst="rect">
                            <a:avLst/>
                          </a:prstGeom>
                        </pic:spPr>
                      </pic:pic>
                    </a:graphicData>
                  </a:graphic>
                </wp:inline>
              </w:drawing>
            </w:r>
          </w:p>
        </w:tc>
      </w:tr>
      <w:tr w:rsidR="005D54CE" w14:paraId="456D287F" w14:textId="77777777" w:rsidTr="005D54CE">
        <w:tc>
          <w:tcPr>
            <w:tcW w:w="8496" w:type="dxa"/>
          </w:tcPr>
          <w:p w14:paraId="113A7882" w14:textId="77777777" w:rsidR="005D54CE" w:rsidRDefault="005D54CE" w:rsidP="005D54CE">
            <w:pPr>
              <w:rPr>
                <w:rFonts w:asciiTheme="majorBidi" w:hAnsiTheme="majorBidi" w:cstheme="majorBidi"/>
                <w:b/>
                <w:bCs/>
                <w:lang w:bidi="ar-EG"/>
              </w:rPr>
            </w:pPr>
          </w:p>
          <w:p w14:paraId="5F29108F" w14:textId="311959D4" w:rsidR="005D54CE" w:rsidRDefault="005D54CE" w:rsidP="005D54CE">
            <w:pPr>
              <w:jc w:val="center"/>
              <w:rPr>
                <w:rFonts w:asciiTheme="majorBidi" w:hAnsiTheme="majorBidi" w:cstheme="majorBidi"/>
                <w:b/>
                <w:bCs/>
                <w:lang w:bidi="ar-EG"/>
              </w:rPr>
            </w:pPr>
            <w:r>
              <w:rPr>
                <w:rFonts w:asciiTheme="majorBidi" w:hAnsiTheme="majorBidi" w:cstheme="majorBidi"/>
                <w:b/>
                <w:bCs/>
                <w:lang w:bidi="ar-EG"/>
              </w:rPr>
              <w:t xml:space="preserve">Case1: </w:t>
            </w:r>
            <w:r w:rsidRPr="005D54CE">
              <w:rPr>
                <w:rFonts w:asciiTheme="majorBidi" w:hAnsiTheme="majorBidi" w:cstheme="majorBidi"/>
                <w:b/>
                <w:bCs/>
                <w:lang w:bidi="ar-EG"/>
              </w:rPr>
              <w:t>Global Longtudinal Strain (GLS) Estimation</w:t>
            </w:r>
          </w:p>
        </w:tc>
      </w:tr>
    </w:tbl>
    <w:p w14:paraId="0856AC5A" w14:textId="77777777" w:rsidR="005D54CE" w:rsidRPr="005D54CE" w:rsidRDefault="005D54CE" w:rsidP="005D54CE">
      <w:pPr>
        <w:rPr>
          <w:rFonts w:asciiTheme="majorBidi" w:hAnsiTheme="majorBidi" w:cstheme="majorBidi"/>
          <w:b/>
          <w:bCs/>
          <w:lang w:bidi="ar-EG"/>
        </w:rPr>
      </w:pPr>
    </w:p>
    <w:sectPr w:rsidR="005D54CE" w:rsidRPr="005D54C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2DC6C" w14:textId="77777777" w:rsidR="00B80FC6" w:rsidRDefault="00B80FC6">
      <w:pPr>
        <w:spacing w:after="0" w:line="240" w:lineRule="auto"/>
      </w:pPr>
      <w:r>
        <w:separator/>
      </w:r>
    </w:p>
  </w:endnote>
  <w:endnote w:type="continuationSeparator" w:id="0">
    <w:p w14:paraId="30B59C0E" w14:textId="77777777" w:rsidR="00B80FC6" w:rsidRDefault="00B8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D754D" w14:textId="77777777" w:rsidR="00AE0505" w:rsidRDefault="00AE0505">
    <w:pPr>
      <w:pStyle w:val="ab"/>
    </w:pPr>
  </w:p>
  <w:p w14:paraId="70E9FC7D" w14:textId="77777777" w:rsidR="00AE0505" w:rsidRDefault="00AE050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62347" w14:textId="77777777" w:rsidR="00B80FC6" w:rsidRDefault="00B80FC6">
      <w:pPr>
        <w:spacing w:after="0" w:line="240" w:lineRule="auto"/>
      </w:pPr>
      <w:r>
        <w:separator/>
      </w:r>
    </w:p>
  </w:footnote>
  <w:footnote w:type="continuationSeparator" w:id="0">
    <w:p w14:paraId="49219F2F" w14:textId="77777777" w:rsidR="00B80FC6" w:rsidRDefault="00B80F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BC00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76B8E38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hybridMultilevel"/>
    <w:tmpl w:val="3B28014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nsid w:val="00000004"/>
    <w:multiLevelType w:val="hybridMultilevel"/>
    <w:tmpl w:val="7170580C"/>
    <w:lvl w:ilvl="0" w:tplc="0409000B">
      <w:start w:val="1"/>
      <w:numFmt w:val="bullet"/>
      <w:lvlText w:val=""/>
      <w:lvlJc w:val="left"/>
      <w:pPr>
        <w:ind w:left="720" w:hanging="360"/>
      </w:pPr>
      <w:rPr>
        <w:rFonts w:ascii="Wingdings" w:hAnsi="Wingdings" w:hint="default"/>
      </w:rPr>
    </w:lvl>
    <w:lvl w:ilvl="1" w:tplc="D3E21EDE">
      <w:start w:val="1"/>
      <w:numFmt w:val="decimal"/>
      <w:lvlText w:val="%2."/>
      <w:lvlJc w:val="left"/>
      <w:pPr>
        <w:ind w:left="2100" w:hanging="10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ED4DDC8"/>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nsid w:val="00000006"/>
    <w:multiLevelType w:val="hybridMultilevel"/>
    <w:tmpl w:val="F3744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EDF6887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00000008"/>
    <w:multiLevelType w:val="hybridMultilevel"/>
    <w:tmpl w:val="1FF8EF38"/>
    <w:lvl w:ilvl="0" w:tplc="4A66BA74">
      <w:start w:val="1"/>
      <w:numFmt w:val="bullet"/>
      <w:pStyle w:val="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D7F09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486554"/>
    <w:multiLevelType w:val="multilevel"/>
    <w:tmpl w:val="59DE1D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508B1B10"/>
    <w:multiLevelType w:val="hybridMultilevel"/>
    <w:tmpl w:val="3EF25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6DCFABA">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D8301E"/>
    <w:multiLevelType w:val="hybridMultilevel"/>
    <w:tmpl w:val="62E69516"/>
    <w:lvl w:ilvl="0" w:tplc="FE407AB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3"/>
  </w:num>
  <w:num w:numId="5">
    <w:abstractNumId w:val="4"/>
  </w:num>
  <w:num w:numId="6">
    <w:abstractNumId w:val="8"/>
  </w:num>
  <w:num w:numId="7">
    <w:abstractNumId w:val="0"/>
  </w:num>
  <w:num w:numId="8">
    <w:abstractNumId w:val="5"/>
  </w:num>
  <w:num w:numId="9">
    <w:abstractNumId w:val="1"/>
  </w:num>
  <w:num w:numId="10">
    <w:abstractNumId w:val="9"/>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505"/>
    <w:rsid w:val="000954A5"/>
    <w:rsid w:val="001058C8"/>
    <w:rsid w:val="004144EF"/>
    <w:rsid w:val="00421F49"/>
    <w:rsid w:val="00593BD0"/>
    <w:rsid w:val="005D54CE"/>
    <w:rsid w:val="005E19B8"/>
    <w:rsid w:val="006054C9"/>
    <w:rsid w:val="006D6C00"/>
    <w:rsid w:val="006F3EF9"/>
    <w:rsid w:val="007065AA"/>
    <w:rsid w:val="00777FC6"/>
    <w:rsid w:val="0086027F"/>
    <w:rsid w:val="009120B5"/>
    <w:rsid w:val="00915C99"/>
    <w:rsid w:val="009637B7"/>
    <w:rsid w:val="00A075EB"/>
    <w:rsid w:val="00AE0505"/>
    <w:rsid w:val="00B80FC6"/>
    <w:rsid w:val="00B8477A"/>
    <w:rsid w:val="00BC40D3"/>
    <w:rsid w:val="00C70B7C"/>
    <w:rsid w:val="00D777D6"/>
    <w:rsid w:val="00DD4EFA"/>
    <w:rsid w:val="00E337EF"/>
    <w:rsid w:val="00F162AA"/>
    <w:rsid w:val="00F27BF6"/>
    <w:rsid w:val="00F870E6"/>
    <w:rsid w:val="00F90F67"/>
    <w:rsid w:val="00FA07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6E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259" w:lineRule="auto"/>
    </w:pPr>
    <w:rPr>
      <w:kern w:val="0"/>
      <w:sz w:val="22"/>
      <w:szCs w:val="22"/>
      <w14:ligatures w14:val="none"/>
    </w:rPr>
  </w:style>
  <w:style w:type="paragraph" w:styleId="1">
    <w:name w:val="heading 1"/>
    <w:basedOn w:val="a"/>
    <w:next w:val="a"/>
    <w:link w:val="1Char"/>
    <w:uiPriority w:val="9"/>
    <w:qFormat/>
    <w:pPr>
      <w:keepNext/>
      <w:keepLines/>
      <w:spacing w:before="360" w:after="80"/>
      <w:outlineLvl w:val="0"/>
    </w:pPr>
    <w:rPr>
      <w:rFonts w:ascii="Calibri Light" w:eastAsia="SimSun" w:hAnsi="Calibri Light" w:cs="Times New Roman"/>
      <w:color w:val="2E74B5"/>
      <w:sz w:val="40"/>
      <w:szCs w:val="40"/>
    </w:rPr>
  </w:style>
  <w:style w:type="paragraph" w:styleId="2">
    <w:name w:val="heading 2"/>
    <w:basedOn w:val="a"/>
    <w:next w:val="a"/>
    <w:link w:val="2Char"/>
    <w:uiPriority w:val="9"/>
    <w:qFormat/>
    <w:pPr>
      <w:keepNext/>
      <w:keepLines/>
      <w:spacing w:before="160" w:after="80"/>
      <w:outlineLvl w:val="1"/>
    </w:pPr>
    <w:rPr>
      <w:rFonts w:ascii="Calibri Light" w:eastAsia="SimSun" w:hAnsi="Calibri Light" w:cs="Times New Roman"/>
      <w:color w:val="2E74B5"/>
      <w:sz w:val="32"/>
      <w:szCs w:val="32"/>
    </w:rPr>
  </w:style>
  <w:style w:type="paragraph" w:styleId="3">
    <w:name w:val="heading 3"/>
    <w:basedOn w:val="a"/>
    <w:next w:val="a"/>
    <w:link w:val="3Char"/>
    <w:uiPriority w:val="9"/>
    <w:qFormat/>
    <w:pPr>
      <w:keepNext/>
      <w:keepLines/>
      <w:spacing w:before="160" w:after="80"/>
      <w:outlineLvl w:val="2"/>
    </w:pPr>
    <w:rPr>
      <w:rFonts w:eastAsia="SimSun" w:cs="Times New Roman"/>
      <w:color w:val="2E74B5"/>
      <w:sz w:val="28"/>
      <w:szCs w:val="28"/>
    </w:rPr>
  </w:style>
  <w:style w:type="paragraph" w:styleId="4">
    <w:name w:val="heading 4"/>
    <w:basedOn w:val="a"/>
    <w:next w:val="a"/>
    <w:link w:val="4Char"/>
    <w:uiPriority w:val="9"/>
    <w:qFormat/>
    <w:pPr>
      <w:keepNext/>
      <w:keepLines/>
      <w:spacing w:before="80" w:after="40"/>
      <w:outlineLvl w:val="3"/>
    </w:pPr>
    <w:rPr>
      <w:rFonts w:eastAsia="SimSun" w:cs="Times New Roman"/>
      <w:i/>
      <w:iCs/>
      <w:color w:val="2E74B5"/>
    </w:rPr>
  </w:style>
  <w:style w:type="paragraph" w:styleId="5">
    <w:name w:val="heading 5"/>
    <w:basedOn w:val="a"/>
    <w:next w:val="a"/>
    <w:link w:val="5Char"/>
    <w:uiPriority w:val="9"/>
    <w:qFormat/>
    <w:pPr>
      <w:keepNext/>
      <w:keepLines/>
      <w:spacing w:before="80" w:after="40"/>
      <w:outlineLvl w:val="4"/>
    </w:pPr>
    <w:rPr>
      <w:rFonts w:eastAsia="SimSun" w:cs="Times New Roman"/>
      <w:color w:val="2E74B5"/>
    </w:rPr>
  </w:style>
  <w:style w:type="paragraph" w:styleId="6">
    <w:name w:val="heading 6"/>
    <w:basedOn w:val="a"/>
    <w:next w:val="a"/>
    <w:link w:val="6Char"/>
    <w:uiPriority w:val="9"/>
    <w:qFormat/>
    <w:pPr>
      <w:keepNext/>
      <w:keepLines/>
      <w:spacing w:before="40" w:after="0"/>
      <w:outlineLvl w:val="5"/>
    </w:pPr>
    <w:rPr>
      <w:rFonts w:eastAsia="SimSun" w:cs="Times New Roman"/>
      <w:i/>
      <w:iCs/>
      <w:color w:val="595959"/>
    </w:rPr>
  </w:style>
  <w:style w:type="paragraph" w:styleId="7">
    <w:name w:val="heading 7"/>
    <w:basedOn w:val="a"/>
    <w:next w:val="a"/>
    <w:link w:val="7Char"/>
    <w:uiPriority w:val="9"/>
    <w:qFormat/>
    <w:pPr>
      <w:keepNext/>
      <w:keepLines/>
      <w:spacing w:before="40" w:after="0"/>
      <w:outlineLvl w:val="6"/>
    </w:pPr>
    <w:rPr>
      <w:rFonts w:eastAsia="SimSun" w:cs="Times New Roman"/>
      <w:color w:val="595959"/>
    </w:rPr>
  </w:style>
  <w:style w:type="paragraph" w:styleId="8">
    <w:name w:val="heading 8"/>
    <w:basedOn w:val="a"/>
    <w:next w:val="a"/>
    <w:link w:val="8Char"/>
    <w:uiPriority w:val="9"/>
    <w:qFormat/>
    <w:pPr>
      <w:keepNext/>
      <w:keepLines/>
      <w:spacing w:after="0"/>
      <w:outlineLvl w:val="7"/>
    </w:pPr>
    <w:rPr>
      <w:rFonts w:eastAsia="SimSun" w:cs="Times New Roman"/>
      <w:i/>
      <w:iCs/>
      <w:color w:val="272727"/>
    </w:rPr>
  </w:style>
  <w:style w:type="paragraph" w:styleId="9">
    <w:name w:val="heading 9"/>
    <w:basedOn w:val="a"/>
    <w:next w:val="a"/>
    <w:link w:val="9Char"/>
    <w:uiPriority w:val="9"/>
    <w:qFormat/>
    <w:pPr>
      <w:keepNext/>
      <w:keepLines/>
      <w:spacing w:after="0"/>
      <w:outlineLvl w:val="8"/>
    </w:pPr>
    <w:rPr>
      <w:rFonts w:eastAsia="SimSu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Calibri Light" w:eastAsia="SimSun" w:hAnsi="Calibri Light" w:cs="Times New Roman"/>
      <w:color w:val="2E74B5"/>
      <w:sz w:val="40"/>
      <w:szCs w:val="40"/>
    </w:rPr>
  </w:style>
  <w:style w:type="character" w:customStyle="1" w:styleId="2Char">
    <w:name w:val="عنوان 2 Char"/>
    <w:basedOn w:val="a0"/>
    <w:link w:val="2"/>
    <w:uiPriority w:val="9"/>
    <w:rPr>
      <w:rFonts w:ascii="Calibri Light" w:eastAsia="SimSun" w:hAnsi="Calibri Light" w:cs="Times New Roman"/>
      <w:color w:val="2E74B5"/>
      <w:sz w:val="32"/>
      <w:szCs w:val="32"/>
    </w:rPr>
  </w:style>
  <w:style w:type="character" w:customStyle="1" w:styleId="3Char">
    <w:name w:val="عنوان 3 Char"/>
    <w:basedOn w:val="a0"/>
    <w:link w:val="3"/>
    <w:uiPriority w:val="9"/>
    <w:rPr>
      <w:rFonts w:eastAsia="SimSun" w:cs="Times New Roman"/>
      <w:color w:val="2E74B5"/>
      <w:sz w:val="28"/>
      <w:szCs w:val="28"/>
    </w:rPr>
  </w:style>
  <w:style w:type="character" w:customStyle="1" w:styleId="4Char">
    <w:name w:val="عنوان 4 Char"/>
    <w:basedOn w:val="a0"/>
    <w:link w:val="4"/>
    <w:uiPriority w:val="9"/>
    <w:rPr>
      <w:rFonts w:eastAsia="SimSun" w:cs="Times New Roman"/>
      <w:i/>
      <w:iCs/>
      <w:color w:val="2E74B5"/>
    </w:rPr>
  </w:style>
  <w:style w:type="character" w:customStyle="1" w:styleId="5Char">
    <w:name w:val="عنوان 5 Char"/>
    <w:basedOn w:val="a0"/>
    <w:link w:val="5"/>
    <w:uiPriority w:val="9"/>
    <w:rPr>
      <w:rFonts w:eastAsia="SimSun" w:cs="Times New Roman"/>
      <w:color w:val="2E74B5"/>
    </w:rPr>
  </w:style>
  <w:style w:type="character" w:customStyle="1" w:styleId="6Char">
    <w:name w:val="عنوان 6 Char"/>
    <w:basedOn w:val="a0"/>
    <w:link w:val="6"/>
    <w:uiPriority w:val="9"/>
    <w:rPr>
      <w:rFonts w:eastAsia="SimSun" w:cs="Times New Roman"/>
      <w:i/>
      <w:iCs/>
      <w:color w:val="595959"/>
    </w:rPr>
  </w:style>
  <w:style w:type="character" w:customStyle="1" w:styleId="7Char">
    <w:name w:val="عنوان 7 Char"/>
    <w:basedOn w:val="a0"/>
    <w:link w:val="7"/>
    <w:uiPriority w:val="9"/>
    <w:rPr>
      <w:rFonts w:eastAsia="SimSun" w:cs="Times New Roman"/>
      <w:color w:val="595959"/>
    </w:rPr>
  </w:style>
  <w:style w:type="character" w:customStyle="1" w:styleId="8Char">
    <w:name w:val="عنوان 8 Char"/>
    <w:basedOn w:val="a0"/>
    <w:link w:val="8"/>
    <w:uiPriority w:val="9"/>
    <w:rPr>
      <w:rFonts w:eastAsia="SimSun" w:cs="Times New Roman"/>
      <w:i/>
      <w:iCs/>
      <w:color w:val="272727"/>
    </w:rPr>
  </w:style>
  <w:style w:type="character" w:customStyle="1" w:styleId="9Char">
    <w:name w:val="عنوان 9 Char"/>
    <w:basedOn w:val="a0"/>
    <w:link w:val="9"/>
    <w:uiPriority w:val="9"/>
    <w:rPr>
      <w:rFonts w:eastAsia="SimSun" w:cs="Times New Roman"/>
      <w:color w:val="272727"/>
    </w:rPr>
  </w:style>
  <w:style w:type="paragraph" w:styleId="a3">
    <w:name w:val="Title"/>
    <w:basedOn w:val="a"/>
    <w:next w:val="a"/>
    <w:link w:val="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Char">
    <w:name w:val="العنوان Char"/>
    <w:basedOn w:val="a0"/>
    <w:link w:val="a3"/>
    <w:uiPriority w:val="10"/>
    <w:rPr>
      <w:rFonts w:ascii="Calibri Light" w:eastAsia="SimSun" w:hAnsi="Calibri Light" w:cs="Times New Roman"/>
      <w:spacing w:val="-10"/>
      <w:kern w:val="28"/>
      <w:sz w:val="56"/>
      <w:szCs w:val="56"/>
    </w:rPr>
  </w:style>
  <w:style w:type="paragraph" w:styleId="a4">
    <w:name w:val="Subtitle"/>
    <w:basedOn w:val="a"/>
    <w:next w:val="a"/>
    <w:link w:val="Char0"/>
    <w:uiPriority w:val="11"/>
    <w:qFormat/>
    <w:pPr>
      <w:numPr>
        <w:ilvl w:val="1"/>
      </w:numPr>
    </w:pPr>
    <w:rPr>
      <w:rFonts w:eastAsia="SimSun" w:cs="Times New Roman"/>
      <w:color w:val="595959"/>
      <w:spacing w:val="15"/>
      <w:sz w:val="28"/>
      <w:szCs w:val="28"/>
    </w:rPr>
  </w:style>
  <w:style w:type="character" w:customStyle="1" w:styleId="Char0">
    <w:name w:val="عنوان فرعي Char"/>
    <w:basedOn w:val="a0"/>
    <w:link w:val="a4"/>
    <w:uiPriority w:val="11"/>
    <w:rPr>
      <w:rFonts w:eastAsia="SimSun" w:cs="Times New Roman"/>
      <w:color w:val="595959"/>
      <w:spacing w:val="15"/>
      <w:sz w:val="28"/>
      <w:szCs w:val="28"/>
    </w:rPr>
  </w:style>
  <w:style w:type="paragraph" w:styleId="a5">
    <w:name w:val="Quote"/>
    <w:basedOn w:val="a"/>
    <w:next w:val="a"/>
    <w:link w:val="Char1"/>
    <w:uiPriority w:val="29"/>
    <w:qFormat/>
    <w:pPr>
      <w:spacing w:before="160"/>
      <w:jc w:val="center"/>
    </w:pPr>
    <w:rPr>
      <w:i/>
      <w:iCs/>
      <w:color w:val="404040"/>
    </w:rPr>
  </w:style>
  <w:style w:type="character" w:customStyle="1" w:styleId="Char1">
    <w:name w:val="اقتباس Char"/>
    <w:basedOn w:val="a0"/>
    <w:link w:val="a5"/>
    <w:uiPriority w:val="29"/>
    <w:rPr>
      <w:i/>
      <w:iCs/>
      <w:color w:val="404040"/>
    </w:rPr>
  </w:style>
  <w:style w:type="paragraph" w:styleId="a6">
    <w:name w:val="List Paragraph"/>
    <w:basedOn w:val="a"/>
    <w:uiPriority w:val="34"/>
    <w:qFormat/>
    <w:pPr>
      <w:ind w:left="720"/>
      <w:contextualSpacing/>
    </w:pPr>
  </w:style>
  <w:style w:type="character" w:styleId="a7">
    <w:name w:val="Intense Emphasis"/>
    <w:basedOn w:val="a0"/>
    <w:uiPriority w:val="21"/>
    <w:qFormat/>
    <w:rPr>
      <w:i/>
      <w:iCs/>
      <w:color w:val="2E74B5"/>
    </w:rPr>
  </w:style>
  <w:style w:type="paragraph" w:styleId="a8">
    <w:name w:val="Intense Quote"/>
    <w:basedOn w:val="a"/>
    <w:next w:val="a"/>
    <w:link w:val="Char2"/>
    <w:uiPriority w:val="30"/>
    <w:qFormat/>
    <w:pPr>
      <w:pBdr>
        <w:top w:val="single" w:sz="4" w:space="10" w:color="2E74B5"/>
        <w:bottom w:val="single" w:sz="4" w:space="10" w:color="2E74B5"/>
      </w:pBdr>
      <w:spacing w:before="360" w:after="360"/>
      <w:ind w:left="864" w:right="864"/>
      <w:jc w:val="center"/>
    </w:pPr>
    <w:rPr>
      <w:i/>
      <w:iCs/>
      <w:color w:val="2E74B5"/>
    </w:rPr>
  </w:style>
  <w:style w:type="character" w:customStyle="1" w:styleId="Char2">
    <w:name w:val="اقتباس مكثف Char"/>
    <w:basedOn w:val="a0"/>
    <w:link w:val="a8"/>
    <w:uiPriority w:val="30"/>
    <w:rPr>
      <w:i/>
      <w:iCs/>
      <w:color w:val="2E74B5"/>
    </w:rPr>
  </w:style>
  <w:style w:type="character" w:styleId="a9">
    <w:name w:val="Intense Reference"/>
    <w:basedOn w:val="a0"/>
    <w:uiPriority w:val="32"/>
    <w:qFormat/>
    <w:rPr>
      <w:b/>
      <w:bCs/>
      <w:smallCaps/>
      <w:color w:val="2E74B5"/>
      <w:spacing w:val="5"/>
    </w:rPr>
  </w:style>
  <w:style w:type="paragraph" w:customStyle="1" w:styleId="P">
    <w:name w:val="P"/>
    <w:basedOn w:val="a"/>
    <w:link w:val="PChar"/>
    <w:qFormat/>
    <w:pPr>
      <w:spacing w:before="240" w:after="0" w:line="240" w:lineRule="auto"/>
      <w:jc w:val="lowKashida"/>
    </w:pPr>
    <w:rPr>
      <w:rFonts w:ascii="Times New Roman" w:hAnsi="Times New Roman" w:cs="Times New Roman"/>
      <w:sz w:val="24"/>
      <w:szCs w:val="24"/>
    </w:rPr>
  </w:style>
  <w:style w:type="character" w:customStyle="1" w:styleId="PChar">
    <w:name w:val="P Char"/>
    <w:link w:val="P"/>
    <w:rPr>
      <w:rFonts w:ascii="Times New Roman" w:hAnsi="Times New Roman" w:cs="Times New Roman"/>
      <w:kern w:val="0"/>
      <w14:ligatures w14:val="none"/>
    </w:rPr>
  </w:style>
  <w:style w:type="character" w:styleId="Hyperlink">
    <w:name w:val="Hyperlink"/>
    <w:basedOn w:val="a0"/>
    <w:uiPriority w:val="99"/>
    <w:rPr>
      <w:color w:val="0563C1"/>
      <w:u w:val="single"/>
    </w:rPr>
  </w:style>
  <w:style w:type="character" w:customStyle="1" w:styleId="10">
    <w:name w:val="إشارة لم يتم حلها1"/>
    <w:basedOn w:val="a0"/>
    <w:uiPriority w:val="99"/>
    <w:rPr>
      <w:color w:val="605E5C"/>
      <w:shd w:val="clear" w:color="auto" w:fill="E1DFDD"/>
    </w:rPr>
  </w:style>
  <w:style w:type="paragraph" w:styleId="aa">
    <w:name w:val="header"/>
    <w:basedOn w:val="a"/>
    <w:link w:val="Char3"/>
    <w:uiPriority w:val="99"/>
    <w:pPr>
      <w:tabs>
        <w:tab w:val="center" w:pos="4680"/>
        <w:tab w:val="right" w:pos="9360"/>
      </w:tabs>
      <w:spacing w:after="0" w:line="240" w:lineRule="auto"/>
    </w:pPr>
  </w:style>
  <w:style w:type="character" w:customStyle="1" w:styleId="Char3">
    <w:name w:val="رأس الصفحة Char"/>
    <w:basedOn w:val="a0"/>
    <w:link w:val="aa"/>
    <w:uiPriority w:val="99"/>
    <w:rPr>
      <w:kern w:val="0"/>
      <w:sz w:val="22"/>
      <w:szCs w:val="22"/>
      <w14:ligatures w14:val="none"/>
    </w:rPr>
  </w:style>
  <w:style w:type="paragraph" w:styleId="ab">
    <w:name w:val="footer"/>
    <w:basedOn w:val="a"/>
    <w:link w:val="Char4"/>
    <w:uiPriority w:val="99"/>
    <w:pPr>
      <w:tabs>
        <w:tab w:val="center" w:pos="4680"/>
        <w:tab w:val="right" w:pos="9360"/>
      </w:tabs>
      <w:spacing w:after="0" w:line="240" w:lineRule="auto"/>
    </w:pPr>
  </w:style>
  <w:style w:type="character" w:customStyle="1" w:styleId="Char4">
    <w:name w:val="تذييل الصفحة Char"/>
    <w:basedOn w:val="a0"/>
    <w:link w:val="ab"/>
    <w:uiPriority w:val="99"/>
    <w:rPr>
      <w:kern w:val="0"/>
      <w:sz w:val="22"/>
      <w:szCs w:val="22"/>
      <w14:ligatures w14:val="none"/>
    </w:rPr>
  </w:style>
  <w:style w:type="paragraph" w:styleId="ac">
    <w:name w:val="caption"/>
    <w:basedOn w:val="a"/>
    <w:next w:val="a"/>
    <w:link w:val="Char5"/>
    <w:uiPriority w:val="35"/>
    <w:qFormat/>
    <w:pPr>
      <w:keepNext/>
      <w:spacing w:after="0" w:line="360" w:lineRule="auto"/>
      <w:jc w:val="both"/>
    </w:pPr>
    <w:rPr>
      <w:rFonts w:ascii="Times New Roman" w:hAnsi="Times New Roman" w:cs="Times New Roman"/>
      <w:b/>
      <w:bCs/>
      <w:kern w:val="2"/>
      <w:sz w:val="24"/>
      <w:szCs w:val="24"/>
      <w14:ligatures w14:val="standardContextual"/>
    </w:rPr>
  </w:style>
  <w:style w:type="paragraph" w:customStyle="1" w:styleId="F-note">
    <w:name w:val="F-note"/>
    <w:basedOn w:val="a"/>
    <w:link w:val="F-noteChar"/>
    <w:qFormat/>
    <w:pPr>
      <w:spacing w:line="240" w:lineRule="auto"/>
      <w:jc w:val="both"/>
    </w:pPr>
    <w:rPr>
      <w:rFonts w:ascii="Times New Roman" w:hAnsi="Times New Roman" w:cs="Times New Roman"/>
      <w:kern w:val="2"/>
      <w14:ligatures w14:val="standardContextual"/>
    </w:rPr>
  </w:style>
  <w:style w:type="character" w:customStyle="1" w:styleId="F-noteChar">
    <w:name w:val="F-note Char"/>
    <w:basedOn w:val="a0"/>
    <w:link w:val="F-note"/>
    <w:rPr>
      <w:rFonts w:ascii="Times New Roman" w:hAnsi="Times New Roman" w:cs="Times New Roman"/>
      <w:sz w:val="22"/>
      <w:szCs w:val="22"/>
    </w:rPr>
  </w:style>
  <w:style w:type="character" w:customStyle="1" w:styleId="Char5">
    <w:name w:val="تسمية توضيحية Char"/>
    <w:basedOn w:val="a0"/>
    <w:link w:val="ac"/>
    <w:uiPriority w:val="35"/>
    <w:rPr>
      <w:rFonts w:ascii="Times New Roman" w:hAnsi="Times New Roman" w:cs="Times New Roman"/>
      <w:b/>
      <w:bCs/>
    </w:rPr>
  </w:style>
  <w:style w:type="paragraph" w:customStyle="1" w:styleId="Head">
    <w:name w:val="Head"/>
    <w:basedOn w:val="ad"/>
    <w:link w:val="HeadChar"/>
    <w:qFormat/>
    <w:pPr>
      <w:numPr>
        <w:numId w:val="1"/>
      </w:numPr>
      <w:spacing w:before="240" w:after="0" w:line="360" w:lineRule="auto"/>
      <w:jc w:val="both"/>
    </w:pPr>
    <w:rPr>
      <w:rFonts w:eastAsia="Times New Roman"/>
      <w:b/>
      <w:bCs/>
      <w:sz w:val="28"/>
      <w:szCs w:val="28"/>
      <w:lang w:eastAsia="zh-CN"/>
    </w:rPr>
  </w:style>
  <w:style w:type="character" w:customStyle="1" w:styleId="HeadChar">
    <w:name w:val="Head Char"/>
    <w:basedOn w:val="a0"/>
    <w:link w:val="Head"/>
    <w:rPr>
      <w:rFonts w:ascii="Times New Roman" w:eastAsia="Times New Roman" w:hAnsi="Times New Roman" w:cs="Times New Roman"/>
      <w:b/>
      <w:bCs/>
      <w:kern w:val="0"/>
      <w:sz w:val="28"/>
      <w:szCs w:val="28"/>
      <w:lang w:eastAsia="zh-CN"/>
      <w14:ligatures w14:val="none"/>
    </w:rPr>
  </w:style>
  <w:style w:type="paragraph" w:styleId="ad">
    <w:name w:val="Normal (Web)"/>
    <w:basedOn w:val="a"/>
    <w:uiPriority w:val="99"/>
    <w:rPr>
      <w:rFonts w:ascii="Times New Roman" w:hAnsi="Times New Roman" w:cs="Times New Roman"/>
      <w:sz w:val="24"/>
      <w:szCs w:val="24"/>
    </w:rPr>
  </w:style>
  <w:style w:type="character" w:styleId="ae">
    <w:name w:val="Strong"/>
    <w:basedOn w:val="a0"/>
    <w:uiPriority w:val="22"/>
    <w:qFormat/>
    <w:rPr>
      <w:b/>
      <w:bCs/>
    </w:rPr>
  </w:style>
  <w:style w:type="character" w:styleId="af">
    <w:name w:val="Placeholder Text"/>
    <w:basedOn w:val="a0"/>
    <w:uiPriority w:val="99"/>
    <w:rPr>
      <w:color w:val="666666"/>
    </w:rPr>
  </w:style>
  <w:style w:type="paragraph" w:styleId="af0">
    <w:name w:val="Balloon Text"/>
    <w:basedOn w:val="a"/>
    <w:link w:val="Char6"/>
    <w:uiPriority w:val="99"/>
    <w:semiHidden/>
    <w:unhideWhenUsed/>
    <w:rsid w:val="00B8477A"/>
    <w:pPr>
      <w:spacing w:after="0" w:line="240" w:lineRule="auto"/>
    </w:pPr>
    <w:rPr>
      <w:rFonts w:ascii="Tahoma" w:hAnsi="Tahoma" w:cs="Tahoma"/>
      <w:sz w:val="16"/>
      <w:szCs w:val="16"/>
    </w:rPr>
  </w:style>
  <w:style w:type="character" w:customStyle="1" w:styleId="Char6">
    <w:name w:val="نص في بالون Char"/>
    <w:basedOn w:val="a0"/>
    <w:link w:val="af0"/>
    <w:uiPriority w:val="99"/>
    <w:semiHidden/>
    <w:rsid w:val="00B8477A"/>
    <w:rPr>
      <w:rFonts w:ascii="Tahoma" w:hAnsi="Tahoma" w:cs="Tahoma"/>
      <w:kern w:val="0"/>
      <w:sz w:val="16"/>
      <w:szCs w:val="16"/>
      <w14:ligatures w14:val="none"/>
    </w:rPr>
  </w:style>
  <w:style w:type="table" w:styleId="af1">
    <w:name w:val="Table Grid"/>
    <w:basedOn w:val="a1"/>
    <w:uiPriority w:val="39"/>
    <w:rsid w:val="00915C99"/>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259" w:lineRule="auto"/>
    </w:pPr>
    <w:rPr>
      <w:kern w:val="0"/>
      <w:sz w:val="22"/>
      <w:szCs w:val="22"/>
      <w14:ligatures w14:val="none"/>
    </w:rPr>
  </w:style>
  <w:style w:type="paragraph" w:styleId="1">
    <w:name w:val="heading 1"/>
    <w:basedOn w:val="a"/>
    <w:next w:val="a"/>
    <w:link w:val="1Char"/>
    <w:uiPriority w:val="9"/>
    <w:qFormat/>
    <w:pPr>
      <w:keepNext/>
      <w:keepLines/>
      <w:spacing w:before="360" w:after="80"/>
      <w:outlineLvl w:val="0"/>
    </w:pPr>
    <w:rPr>
      <w:rFonts w:ascii="Calibri Light" w:eastAsia="SimSun" w:hAnsi="Calibri Light" w:cs="Times New Roman"/>
      <w:color w:val="2E74B5"/>
      <w:sz w:val="40"/>
      <w:szCs w:val="40"/>
    </w:rPr>
  </w:style>
  <w:style w:type="paragraph" w:styleId="2">
    <w:name w:val="heading 2"/>
    <w:basedOn w:val="a"/>
    <w:next w:val="a"/>
    <w:link w:val="2Char"/>
    <w:uiPriority w:val="9"/>
    <w:qFormat/>
    <w:pPr>
      <w:keepNext/>
      <w:keepLines/>
      <w:spacing w:before="160" w:after="80"/>
      <w:outlineLvl w:val="1"/>
    </w:pPr>
    <w:rPr>
      <w:rFonts w:ascii="Calibri Light" w:eastAsia="SimSun" w:hAnsi="Calibri Light" w:cs="Times New Roman"/>
      <w:color w:val="2E74B5"/>
      <w:sz w:val="32"/>
      <w:szCs w:val="32"/>
    </w:rPr>
  </w:style>
  <w:style w:type="paragraph" w:styleId="3">
    <w:name w:val="heading 3"/>
    <w:basedOn w:val="a"/>
    <w:next w:val="a"/>
    <w:link w:val="3Char"/>
    <w:uiPriority w:val="9"/>
    <w:qFormat/>
    <w:pPr>
      <w:keepNext/>
      <w:keepLines/>
      <w:spacing w:before="160" w:after="80"/>
      <w:outlineLvl w:val="2"/>
    </w:pPr>
    <w:rPr>
      <w:rFonts w:eastAsia="SimSun" w:cs="Times New Roman"/>
      <w:color w:val="2E74B5"/>
      <w:sz w:val="28"/>
      <w:szCs w:val="28"/>
    </w:rPr>
  </w:style>
  <w:style w:type="paragraph" w:styleId="4">
    <w:name w:val="heading 4"/>
    <w:basedOn w:val="a"/>
    <w:next w:val="a"/>
    <w:link w:val="4Char"/>
    <w:uiPriority w:val="9"/>
    <w:qFormat/>
    <w:pPr>
      <w:keepNext/>
      <w:keepLines/>
      <w:spacing w:before="80" w:after="40"/>
      <w:outlineLvl w:val="3"/>
    </w:pPr>
    <w:rPr>
      <w:rFonts w:eastAsia="SimSun" w:cs="Times New Roman"/>
      <w:i/>
      <w:iCs/>
      <w:color w:val="2E74B5"/>
    </w:rPr>
  </w:style>
  <w:style w:type="paragraph" w:styleId="5">
    <w:name w:val="heading 5"/>
    <w:basedOn w:val="a"/>
    <w:next w:val="a"/>
    <w:link w:val="5Char"/>
    <w:uiPriority w:val="9"/>
    <w:qFormat/>
    <w:pPr>
      <w:keepNext/>
      <w:keepLines/>
      <w:spacing w:before="80" w:after="40"/>
      <w:outlineLvl w:val="4"/>
    </w:pPr>
    <w:rPr>
      <w:rFonts w:eastAsia="SimSun" w:cs="Times New Roman"/>
      <w:color w:val="2E74B5"/>
    </w:rPr>
  </w:style>
  <w:style w:type="paragraph" w:styleId="6">
    <w:name w:val="heading 6"/>
    <w:basedOn w:val="a"/>
    <w:next w:val="a"/>
    <w:link w:val="6Char"/>
    <w:uiPriority w:val="9"/>
    <w:qFormat/>
    <w:pPr>
      <w:keepNext/>
      <w:keepLines/>
      <w:spacing w:before="40" w:after="0"/>
      <w:outlineLvl w:val="5"/>
    </w:pPr>
    <w:rPr>
      <w:rFonts w:eastAsia="SimSun" w:cs="Times New Roman"/>
      <w:i/>
      <w:iCs/>
      <w:color w:val="595959"/>
    </w:rPr>
  </w:style>
  <w:style w:type="paragraph" w:styleId="7">
    <w:name w:val="heading 7"/>
    <w:basedOn w:val="a"/>
    <w:next w:val="a"/>
    <w:link w:val="7Char"/>
    <w:uiPriority w:val="9"/>
    <w:qFormat/>
    <w:pPr>
      <w:keepNext/>
      <w:keepLines/>
      <w:spacing w:before="40" w:after="0"/>
      <w:outlineLvl w:val="6"/>
    </w:pPr>
    <w:rPr>
      <w:rFonts w:eastAsia="SimSun" w:cs="Times New Roman"/>
      <w:color w:val="595959"/>
    </w:rPr>
  </w:style>
  <w:style w:type="paragraph" w:styleId="8">
    <w:name w:val="heading 8"/>
    <w:basedOn w:val="a"/>
    <w:next w:val="a"/>
    <w:link w:val="8Char"/>
    <w:uiPriority w:val="9"/>
    <w:qFormat/>
    <w:pPr>
      <w:keepNext/>
      <w:keepLines/>
      <w:spacing w:after="0"/>
      <w:outlineLvl w:val="7"/>
    </w:pPr>
    <w:rPr>
      <w:rFonts w:eastAsia="SimSun" w:cs="Times New Roman"/>
      <w:i/>
      <w:iCs/>
      <w:color w:val="272727"/>
    </w:rPr>
  </w:style>
  <w:style w:type="paragraph" w:styleId="9">
    <w:name w:val="heading 9"/>
    <w:basedOn w:val="a"/>
    <w:next w:val="a"/>
    <w:link w:val="9Char"/>
    <w:uiPriority w:val="9"/>
    <w:qFormat/>
    <w:pPr>
      <w:keepNext/>
      <w:keepLines/>
      <w:spacing w:after="0"/>
      <w:outlineLvl w:val="8"/>
    </w:pPr>
    <w:rPr>
      <w:rFonts w:eastAsia="SimSu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Calibri Light" w:eastAsia="SimSun" w:hAnsi="Calibri Light" w:cs="Times New Roman"/>
      <w:color w:val="2E74B5"/>
      <w:sz w:val="40"/>
      <w:szCs w:val="40"/>
    </w:rPr>
  </w:style>
  <w:style w:type="character" w:customStyle="1" w:styleId="2Char">
    <w:name w:val="عنوان 2 Char"/>
    <w:basedOn w:val="a0"/>
    <w:link w:val="2"/>
    <w:uiPriority w:val="9"/>
    <w:rPr>
      <w:rFonts w:ascii="Calibri Light" w:eastAsia="SimSun" w:hAnsi="Calibri Light" w:cs="Times New Roman"/>
      <w:color w:val="2E74B5"/>
      <w:sz w:val="32"/>
      <w:szCs w:val="32"/>
    </w:rPr>
  </w:style>
  <w:style w:type="character" w:customStyle="1" w:styleId="3Char">
    <w:name w:val="عنوان 3 Char"/>
    <w:basedOn w:val="a0"/>
    <w:link w:val="3"/>
    <w:uiPriority w:val="9"/>
    <w:rPr>
      <w:rFonts w:eastAsia="SimSun" w:cs="Times New Roman"/>
      <w:color w:val="2E74B5"/>
      <w:sz w:val="28"/>
      <w:szCs w:val="28"/>
    </w:rPr>
  </w:style>
  <w:style w:type="character" w:customStyle="1" w:styleId="4Char">
    <w:name w:val="عنوان 4 Char"/>
    <w:basedOn w:val="a0"/>
    <w:link w:val="4"/>
    <w:uiPriority w:val="9"/>
    <w:rPr>
      <w:rFonts w:eastAsia="SimSun" w:cs="Times New Roman"/>
      <w:i/>
      <w:iCs/>
      <w:color w:val="2E74B5"/>
    </w:rPr>
  </w:style>
  <w:style w:type="character" w:customStyle="1" w:styleId="5Char">
    <w:name w:val="عنوان 5 Char"/>
    <w:basedOn w:val="a0"/>
    <w:link w:val="5"/>
    <w:uiPriority w:val="9"/>
    <w:rPr>
      <w:rFonts w:eastAsia="SimSun" w:cs="Times New Roman"/>
      <w:color w:val="2E74B5"/>
    </w:rPr>
  </w:style>
  <w:style w:type="character" w:customStyle="1" w:styleId="6Char">
    <w:name w:val="عنوان 6 Char"/>
    <w:basedOn w:val="a0"/>
    <w:link w:val="6"/>
    <w:uiPriority w:val="9"/>
    <w:rPr>
      <w:rFonts w:eastAsia="SimSun" w:cs="Times New Roman"/>
      <w:i/>
      <w:iCs/>
      <w:color w:val="595959"/>
    </w:rPr>
  </w:style>
  <w:style w:type="character" w:customStyle="1" w:styleId="7Char">
    <w:name w:val="عنوان 7 Char"/>
    <w:basedOn w:val="a0"/>
    <w:link w:val="7"/>
    <w:uiPriority w:val="9"/>
    <w:rPr>
      <w:rFonts w:eastAsia="SimSun" w:cs="Times New Roman"/>
      <w:color w:val="595959"/>
    </w:rPr>
  </w:style>
  <w:style w:type="character" w:customStyle="1" w:styleId="8Char">
    <w:name w:val="عنوان 8 Char"/>
    <w:basedOn w:val="a0"/>
    <w:link w:val="8"/>
    <w:uiPriority w:val="9"/>
    <w:rPr>
      <w:rFonts w:eastAsia="SimSun" w:cs="Times New Roman"/>
      <w:i/>
      <w:iCs/>
      <w:color w:val="272727"/>
    </w:rPr>
  </w:style>
  <w:style w:type="character" w:customStyle="1" w:styleId="9Char">
    <w:name w:val="عنوان 9 Char"/>
    <w:basedOn w:val="a0"/>
    <w:link w:val="9"/>
    <w:uiPriority w:val="9"/>
    <w:rPr>
      <w:rFonts w:eastAsia="SimSun" w:cs="Times New Roman"/>
      <w:color w:val="272727"/>
    </w:rPr>
  </w:style>
  <w:style w:type="paragraph" w:styleId="a3">
    <w:name w:val="Title"/>
    <w:basedOn w:val="a"/>
    <w:next w:val="a"/>
    <w:link w:val="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Char">
    <w:name w:val="العنوان Char"/>
    <w:basedOn w:val="a0"/>
    <w:link w:val="a3"/>
    <w:uiPriority w:val="10"/>
    <w:rPr>
      <w:rFonts w:ascii="Calibri Light" w:eastAsia="SimSun" w:hAnsi="Calibri Light" w:cs="Times New Roman"/>
      <w:spacing w:val="-10"/>
      <w:kern w:val="28"/>
      <w:sz w:val="56"/>
      <w:szCs w:val="56"/>
    </w:rPr>
  </w:style>
  <w:style w:type="paragraph" w:styleId="a4">
    <w:name w:val="Subtitle"/>
    <w:basedOn w:val="a"/>
    <w:next w:val="a"/>
    <w:link w:val="Char0"/>
    <w:uiPriority w:val="11"/>
    <w:qFormat/>
    <w:pPr>
      <w:numPr>
        <w:ilvl w:val="1"/>
      </w:numPr>
    </w:pPr>
    <w:rPr>
      <w:rFonts w:eastAsia="SimSun" w:cs="Times New Roman"/>
      <w:color w:val="595959"/>
      <w:spacing w:val="15"/>
      <w:sz w:val="28"/>
      <w:szCs w:val="28"/>
    </w:rPr>
  </w:style>
  <w:style w:type="character" w:customStyle="1" w:styleId="Char0">
    <w:name w:val="عنوان فرعي Char"/>
    <w:basedOn w:val="a0"/>
    <w:link w:val="a4"/>
    <w:uiPriority w:val="11"/>
    <w:rPr>
      <w:rFonts w:eastAsia="SimSun" w:cs="Times New Roman"/>
      <w:color w:val="595959"/>
      <w:spacing w:val="15"/>
      <w:sz w:val="28"/>
      <w:szCs w:val="28"/>
    </w:rPr>
  </w:style>
  <w:style w:type="paragraph" w:styleId="a5">
    <w:name w:val="Quote"/>
    <w:basedOn w:val="a"/>
    <w:next w:val="a"/>
    <w:link w:val="Char1"/>
    <w:uiPriority w:val="29"/>
    <w:qFormat/>
    <w:pPr>
      <w:spacing w:before="160"/>
      <w:jc w:val="center"/>
    </w:pPr>
    <w:rPr>
      <w:i/>
      <w:iCs/>
      <w:color w:val="404040"/>
    </w:rPr>
  </w:style>
  <w:style w:type="character" w:customStyle="1" w:styleId="Char1">
    <w:name w:val="اقتباس Char"/>
    <w:basedOn w:val="a0"/>
    <w:link w:val="a5"/>
    <w:uiPriority w:val="29"/>
    <w:rPr>
      <w:i/>
      <w:iCs/>
      <w:color w:val="404040"/>
    </w:rPr>
  </w:style>
  <w:style w:type="paragraph" w:styleId="a6">
    <w:name w:val="List Paragraph"/>
    <w:basedOn w:val="a"/>
    <w:uiPriority w:val="34"/>
    <w:qFormat/>
    <w:pPr>
      <w:ind w:left="720"/>
      <w:contextualSpacing/>
    </w:pPr>
  </w:style>
  <w:style w:type="character" w:styleId="a7">
    <w:name w:val="Intense Emphasis"/>
    <w:basedOn w:val="a0"/>
    <w:uiPriority w:val="21"/>
    <w:qFormat/>
    <w:rPr>
      <w:i/>
      <w:iCs/>
      <w:color w:val="2E74B5"/>
    </w:rPr>
  </w:style>
  <w:style w:type="paragraph" w:styleId="a8">
    <w:name w:val="Intense Quote"/>
    <w:basedOn w:val="a"/>
    <w:next w:val="a"/>
    <w:link w:val="Char2"/>
    <w:uiPriority w:val="30"/>
    <w:qFormat/>
    <w:pPr>
      <w:pBdr>
        <w:top w:val="single" w:sz="4" w:space="10" w:color="2E74B5"/>
        <w:bottom w:val="single" w:sz="4" w:space="10" w:color="2E74B5"/>
      </w:pBdr>
      <w:spacing w:before="360" w:after="360"/>
      <w:ind w:left="864" w:right="864"/>
      <w:jc w:val="center"/>
    </w:pPr>
    <w:rPr>
      <w:i/>
      <w:iCs/>
      <w:color w:val="2E74B5"/>
    </w:rPr>
  </w:style>
  <w:style w:type="character" w:customStyle="1" w:styleId="Char2">
    <w:name w:val="اقتباس مكثف Char"/>
    <w:basedOn w:val="a0"/>
    <w:link w:val="a8"/>
    <w:uiPriority w:val="30"/>
    <w:rPr>
      <w:i/>
      <w:iCs/>
      <w:color w:val="2E74B5"/>
    </w:rPr>
  </w:style>
  <w:style w:type="character" w:styleId="a9">
    <w:name w:val="Intense Reference"/>
    <w:basedOn w:val="a0"/>
    <w:uiPriority w:val="32"/>
    <w:qFormat/>
    <w:rPr>
      <w:b/>
      <w:bCs/>
      <w:smallCaps/>
      <w:color w:val="2E74B5"/>
      <w:spacing w:val="5"/>
    </w:rPr>
  </w:style>
  <w:style w:type="paragraph" w:customStyle="1" w:styleId="P">
    <w:name w:val="P"/>
    <w:basedOn w:val="a"/>
    <w:link w:val="PChar"/>
    <w:qFormat/>
    <w:pPr>
      <w:spacing w:before="240" w:after="0" w:line="240" w:lineRule="auto"/>
      <w:jc w:val="lowKashida"/>
    </w:pPr>
    <w:rPr>
      <w:rFonts w:ascii="Times New Roman" w:hAnsi="Times New Roman" w:cs="Times New Roman"/>
      <w:sz w:val="24"/>
      <w:szCs w:val="24"/>
    </w:rPr>
  </w:style>
  <w:style w:type="character" w:customStyle="1" w:styleId="PChar">
    <w:name w:val="P Char"/>
    <w:link w:val="P"/>
    <w:rPr>
      <w:rFonts w:ascii="Times New Roman" w:hAnsi="Times New Roman" w:cs="Times New Roman"/>
      <w:kern w:val="0"/>
      <w14:ligatures w14:val="none"/>
    </w:rPr>
  </w:style>
  <w:style w:type="character" w:styleId="Hyperlink">
    <w:name w:val="Hyperlink"/>
    <w:basedOn w:val="a0"/>
    <w:uiPriority w:val="99"/>
    <w:rPr>
      <w:color w:val="0563C1"/>
      <w:u w:val="single"/>
    </w:rPr>
  </w:style>
  <w:style w:type="character" w:customStyle="1" w:styleId="10">
    <w:name w:val="إشارة لم يتم حلها1"/>
    <w:basedOn w:val="a0"/>
    <w:uiPriority w:val="99"/>
    <w:rPr>
      <w:color w:val="605E5C"/>
      <w:shd w:val="clear" w:color="auto" w:fill="E1DFDD"/>
    </w:rPr>
  </w:style>
  <w:style w:type="paragraph" w:styleId="aa">
    <w:name w:val="header"/>
    <w:basedOn w:val="a"/>
    <w:link w:val="Char3"/>
    <w:uiPriority w:val="99"/>
    <w:pPr>
      <w:tabs>
        <w:tab w:val="center" w:pos="4680"/>
        <w:tab w:val="right" w:pos="9360"/>
      </w:tabs>
      <w:spacing w:after="0" w:line="240" w:lineRule="auto"/>
    </w:pPr>
  </w:style>
  <w:style w:type="character" w:customStyle="1" w:styleId="Char3">
    <w:name w:val="رأس الصفحة Char"/>
    <w:basedOn w:val="a0"/>
    <w:link w:val="aa"/>
    <w:uiPriority w:val="99"/>
    <w:rPr>
      <w:kern w:val="0"/>
      <w:sz w:val="22"/>
      <w:szCs w:val="22"/>
      <w14:ligatures w14:val="none"/>
    </w:rPr>
  </w:style>
  <w:style w:type="paragraph" w:styleId="ab">
    <w:name w:val="footer"/>
    <w:basedOn w:val="a"/>
    <w:link w:val="Char4"/>
    <w:uiPriority w:val="99"/>
    <w:pPr>
      <w:tabs>
        <w:tab w:val="center" w:pos="4680"/>
        <w:tab w:val="right" w:pos="9360"/>
      </w:tabs>
      <w:spacing w:after="0" w:line="240" w:lineRule="auto"/>
    </w:pPr>
  </w:style>
  <w:style w:type="character" w:customStyle="1" w:styleId="Char4">
    <w:name w:val="تذييل الصفحة Char"/>
    <w:basedOn w:val="a0"/>
    <w:link w:val="ab"/>
    <w:uiPriority w:val="99"/>
    <w:rPr>
      <w:kern w:val="0"/>
      <w:sz w:val="22"/>
      <w:szCs w:val="22"/>
      <w14:ligatures w14:val="none"/>
    </w:rPr>
  </w:style>
  <w:style w:type="paragraph" w:styleId="ac">
    <w:name w:val="caption"/>
    <w:basedOn w:val="a"/>
    <w:next w:val="a"/>
    <w:link w:val="Char5"/>
    <w:uiPriority w:val="35"/>
    <w:qFormat/>
    <w:pPr>
      <w:keepNext/>
      <w:spacing w:after="0" w:line="360" w:lineRule="auto"/>
      <w:jc w:val="both"/>
    </w:pPr>
    <w:rPr>
      <w:rFonts w:ascii="Times New Roman" w:hAnsi="Times New Roman" w:cs="Times New Roman"/>
      <w:b/>
      <w:bCs/>
      <w:kern w:val="2"/>
      <w:sz w:val="24"/>
      <w:szCs w:val="24"/>
      <w14:ligatures w14:val="standardContextual"/>
    </w:rPr>
  </w:style>
  <w:style w:type="paragraph" w:customStyle="1" w:styleId="F-note">
    <w:name w:val="F-note"/>
    <w:basedOn w:val="a"/>
    <w:link w:val="F-noteChar"/>
    <w:qFormat/>
    <w:pPr>
      <w:spacing w:line="240" w:lineRule="auto"/>
      <w:jc w:val="both"/>
    </w:pPr>
    <w:rPr>
      <w:rFonts w:ascii="Times New Roman" w:hAnsi="Times New Roman" w:cs="Times New Roman"/>
      <w:kern w:val="2"/>
      <w14:ligatures w14:val="standardContextual"/>
    </w:rPr>
  </w:style>
  <w:style w:type="character" w:customStyle="1" w:styleId="F-noteChar">
    <w:name w:val="F-note Char"/>
    <w:basedOn w:val="a0"/>
    <w:link w:val="F-note"/>
    <w:rPr>
      <w:rFonts w:ascii="Times New Roman" w:hAnsi="Times New Roman" w:cs="Times New Roman"/>
      <w:sz w:val="22"/>
      <w:szCs w:val="22"/>
    </w:rPr>
  </w:style>
  <w:style w:type="character" w:customStyle="1" w:styleId="Char5">
    <w:name w:val="تسمية توضيحية Char"/>
    <w:basedOn w:val="a0"/>
    <w:link w:val="ac"/>
    <w:uiPriority w:val="35"/>
    <w:rPr>
      <w:rFonts w:ascii="Times New Roman" w:hAnsi="Times New Roman" w:cs="Times New Roman"/>
      <w:b/>
      <w:bCs/>
    </w:rPr>
  </w:style>
  <w:style w:type="paragraph" w:customStyle="1" w:styleId="Head">
    <w:name w:val="Head"/>
    <w:basedOn w:val="ad"/>
    <w:link w:val="HeadChar"/>
    <w:qFormat/>
    <w:pPr>
      <w:numPr>
        <w:numId w:val="1"/>
      </w:numPr>
      <w:spacing w:before="240" w:after="0" w:line="360" w:lineRule="auto"/>
      <w:jc w:val="both"/>
    </w:pPr>
    <w:rPr>
      <w:rFonts w:eastAsia="Times New Roman"/>
      <w:b/>
      <w:bCs/>
      <w:sz w:val="28"/>
      <w:szCs w:val="28"/>
      <w:lang w:eastAsia="zh-CN"/>
    </w:rPr>
  </w:style>
  <w:style w:type="character" w:customStyle="1" w:styleId="HeadChar">
    <w:name w:val="Head Char"/>
    <w:basedOn w:val="a0"/>
    <w:link w:val="Head"/>
    <w:rPr>
      <w:rFonts w:ascii="Times New Roman" w:eastAsia="Times New Roman" w:hAnsi="Times New Roman" w:cs="Times New Roman"/>
      <w:b/>
      <w:bCs/>
      <w:kern w:val="0"/>
      <w:sz w:val="28"/>
      <w:szCs w:val="28"/>
      <w:lang w:eastAsia="zh-CN"/>
      <w14:ligatures w14:val="none"/>
    </w:rPr>
  </w:style>
  <w:style w:type="paragraph" w:styleId="ad">
    <w:name w:val="Normal (Web)"/>
    <w:basedOn w:val="a"/>
    <w:uiPriority w:val="99"/>
    <w:rPr>
      <w:rFonts w:ascii="Times New Roman" w:hAnsi="Times New Roman" w:cs="Times New Roman"/>
      <w:sz w:val="24"/>
      <w:szCs w:val="24"/>
    </w:rPr>
  </w:style>
  <w:style w:type="character" w:styleId="ae">
    <w:name w:val="Strong"/>
    <w:basedOn w:val="a0"/>
    <w:uiPriority w:val="22"/>
    <w:qFormat/>
    <w:rPr>
      <w:b/>
      <w:bCs/>
    </w:rPr>
  </w:style>
  <w:style w:type="character" w:styleId="af">
    <w:name w:val="Placeholder Text"/>
    <w:basedOn w:val="a0"/>
    <w:uiPriority w:val="99"/>
    <w:rPr>
      <w:color w:val="666666"/>
    </w:rPr>
  </w:style>
  <w:style w:type="paragraph" w:styleId="af0">
    <w:name w:val="Balloon Text"/>
    <w:basedOn w:val="a"/>
    <w:link w:val="Char6"/>
    <w:uiPriority w:val="99"/>
    <w:semiHidden/>
    <w:unhideWhenUsed/>
    <w:rsid w:val="00B8477A"/>
    <w:pPr>
      <w:spacing w:after="0" w:line="240" w:lineRule="auto"/>
    </w:pPr>
    <w:rPr>
      <w:rFonts w:ascii="Tahoma" w:hAnsi="Tahoma" w:cs="Tahoma"/>
      <w:sz w:val="16"/>
      <w:szCs w:val="16"/>
    </w:rPr>
  </w:style>
  <w:style w:type="character" w:customStyle="1" w:styleId="Char6">
    <w:name w:val="نص في بالون Char"/>
    <w:basedOn w:val="a0"/>
    <w:link w:val="af0"/>
    <w:uiPriority w:val="99"/>
    <w:semiHidden/>
    <w:rsid w:val="00B8477A"/>
    <w:rPr>
      <w:rFonts w:ascii="Tahoma" w:hAnsi="Tahoma" w:cs="Tahoma"/>
      <w:kern w:val="0"/>
      <w:sz w:val="16"/>
      <w:szCs w:val="16"/>
      <w14:ligatures w14:val="none"/>
    </w:rPr>
  </w:style>
  <w:style w:type="table" w:styleId="af1">
    <w:name w:val="Table Grid"/>
    <w:basedOn w:val="a1"/>
    <w:uiPriority w:val="39"/>
    <w:rsid w:val="00915C99"/>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18</Pages>
  <Words>4242</Words>
  <Characters>24186</Characters>
  <Application>Microsoft Office Word</Application>
  <DocSecurity>0</DocSecurity>
  <Lines>201</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ميجا سوفت</dc:creator>
  <cp:lastModifiedBy>target</cp:lastModifiedBy>
  <cp:revision>152</cp:revision>
  <cp:lastPrinted>2025-05-22T09:19:00Z</cp:lastPrinted>
  <dcterms:created xsi:type="dcterms:W3CDTF">2025-05-13T21:17:00Z</dcterms:created>
  <dcterms:modified xsi:type="dcterms:W3CDTF">2025-08-11T06:58:00Z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ca20f579-ae73-4648-b60a-b9a3dd4f1f3a</vt:lpwstr>
  </property>
  <property fmtid="{D5CDD505-2E9C-101B-9397-08002B2CF9AE}" pid="3" name="ICV">
    <vt:lpwstr>e171bd0dbe85472daf2f4f663ebc4a98</vt:lpwstr>
  </property>
</Properties>
</file>